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B3A5" w14:textId="2B6D69AF" w:rsidR="00503D45" w:rsidRPr="00872B14" w:rsidRDefault="00F33BC7" w:rsidP="006F1D93">
      <w:pPr>
        <w:pStyle w:val="Title"/>
      </w:pPr>
      <w:r>
        <w:t>Academic Section of CAEP</w:t>
      </w:r>
    </w:p>
    <w:p w14:paraId="1CFE8FFE" w14:textId="5F79C0A5" w:rsidR="00872B14" w:rsidRPr="006F1D93" w:rsidRDefault="003B1379" w:rsidP="006F1D93">
      <w:pPr>
        <w:pStyle w:val="Subtitle"/>
        <w:rPr>
          <w:rStyle w:val="SubtleEmphasis"/>
        </w:rPr>
      </w:pPr>
      <w:r>
        <w:rPr>
          <w:rStyle w:val="SubtleEmphasis"/>
        </w:rPr>
        <w:t>Draft 20</w:t>
      </w:r>
      <w:r w:rsidR="00F33BC7">
        <w:rPr>
          <w:rStyle w:val="SubtleEmphasis"/>
        </w:rPr>
        <w:t>23</w:t>
      </w:r>
      <w:r>
        <w:rPr>
          <w:rStyle w:val="SubtleEmphasis"/>
        </w:rPr>
        <w:t>-</w:t>
      </w:r>
      <w:r w:rsidR="00F33BC7">
        <w:rPr>
          <w:rStyle w:val="SubtleEmphasis"/>
        </w:rPr>
        <w:t>07</w:t>
      </w:r>
      <w:r>
        <w:rPr>
          <w:rStyle w:val="SubtleEmphasis"/>
        </w:rPr>
        <w:t>-</w:t>
      </w:r>
      <w:r w:rsidR="00F33BC7">
        <w:rPr>
          <w:rStyle w:val="SubtleEmphasis"/>
        </w:rPr>
        <w:t>26</w:t>
      </w:r>
    </w:p>
    <w:p w14:paraId="6CE6CEF3" w14:textId="7DD89ECB" w:rsidR="00503D45" w:rsidRPr="006F1D93" w:rsidRDefault="00780BC8" w:rsidP="006F1D93">
      <w:pPr>
        <w:pStyle w:val="Subtitle"/>
        <w:rPr>
          <w:rStyle w:val="SubtleEmphasis"/>
        </w:rPr>
      </w:pPr>
      <w:r>
        <w:rPr>
          <w:rStyle w:val="SubtleEmphasis"/>
        </w:rPr>
        <w:t>Board approved on 20</w:t>
      </w:r>
      <w:r w:rsidR="00737AA5">
        <w:rPr>
          <w:rStyle w:val="SubtleEmphasis"/>
        </w:rPr>
        <w:t>XX</w:t>
      </w:r>
      <w:r>
        <w:rPr>
          <w:rStyle w:val="SubtleEmphasis"/>
        </w:rPr>
        <w:t>-</w:t>
      </w:r>
      <w:r w:rsidR="00737AA5">
        <w:rPr>
          <w:rStyle w:val="SubtleEmphasis"/>
        </w:rPr>
        <w:t>XX</w:t>
      </w:r>
      <w:r>
        <w:rPr>
          <w:rStyle w:val="SubtleEmphasis"/>
        </w:rPr>
        <w:t>-</w:t>
      </w:r>
      <w:r w:rsidR="00737AA5">
        <w:rPr>
          <w:rStyle w:val="SubtleEmphasis"/>
        </w:rPr>
        <w:t>XX</w:t>
      </w:r>
    </w:p>
    <w:p w14:paraId="6D9E2BA6" w14:textId="77777777" w:rsidR="006F1D93" w:rsidRPr="00B047B6" w:rsidRDefault="00B8629C" w:rsidP="00B047B6">
      <w:pPr>
        <w:pStyle w:val="Heading1"/>
      </w:pPr>
      <w:r w:rsidRPr="00B047B6">
        <w:t>Mission</w:t>
      </w:r>
      <w:r w:rsidR="00024E34">
        <w:t xml:space="preserve"> and Vision</w:t>
      </w:r>
      <w:r w:rsidRPr="00B047B6">
        <w:t>:</w:t>
      </w:r>
      <w:r w:rsidR="00503D45" w:rsidRPr="00B047B6">
        <w:t xml:space="preserve"> </w:t>
      </w:r>
    </w:p>
    <w:p w14:paraId="37B823A8" w14:textId="77777777" w:rsidR="00F33BC7" w:rsidRPr="005B0111" w:rsidRDefault="00F33BC7" w:rsidP="00F33BC7">
      <w:r w:rsidRPr="005B0111">
        <w:rPr>
          <w:rStyle w:val="Heading1Char"/>
        </w:rPr>
        <w:t>Vision</w:t>
      </w:r>
    </w:p>
    <w:p w14:paraId="2E3CC810" w14:textId="77777777" w:rsidR="00F33BC7" w:rsidRPr="005B0111" w:rsidRDefault="00F33BC7" w:rsidP="00F33BC7">
      <w:pPr>
        <w:rPr>
          <w:rStyle w:val="Heading1Char"/>
          <w:b w:val="0"/>
          <w:sz w:val="24"/>
          <w:szCs w:val="24"/>
        </w:rPr>
      </w:pPr>
      <w:r w:rsidRPr="005B0111">
        <w:t>To promote high quality emergency patient care through world-leading leadership, education, and research in emergency medicine</w:t>
      </w:r>
      <w:r w:rsidRPr="005B0111">
        <w:br/>
      </w:r>
      <w:r w:rsidRPr="005B0111">
        <w:br/>
      </w:r>
      <w:r w:rsidRPr="005B0111">
        <w:rPr>
          <w:rStyle w:val="Heading1Char"/>
        </w:rPr>
        <w:t>Mission Statements</w:t>
      </w:r>
    </w:p>
    <w:p w14:paraId="6CD3D418" w14:textId="77777777" w:rsidR="00F33BC7" w:rsidRPr="005B0111" w:rsidRDefault="00F33BC7" w:rsidP="00F33BC7">
      <w:pPr>
        <w:pStyle w:val="ListParagraph"/>
        <w:numPr>
          <w:ilvl w:val="0"/>
          <w:numId w:val="26"/>
        </w:numPr>
        <w:spacing w:after="0" w:line="240" w:lineRule="auto"/>
        <w:ind w:left="357" w:hanging="357"/>
        <w:contextualSpacing w:val="0"/>
      </w:pPr>
      <w:r w:rsidRPr="005B0111">
        <w:t>To improve emergency care of patients by enhancing academic emergency medicine at Canadian hospitals</w:t>
      </w:r>
    </w:p>
    <w:p w14:paraId="157C8519" w14:textId="77777777" w:rsidR="00F33BC7" w:rsidRPr="005B0111" w:rsidRDefault="00F33BC7" w:rsidP="00F33BC7">
      <w:pPr>
        <w:pStyle w:val="ListParagraph"/>
        <w:numPr>
          <w:ilvl w:val="0"/>
          <w:numId w:val="26"/>
        </w:numPr>
        <w:spacing w:after="0" w:line="240" w:lineRule="auto"/>
        <w:ind w:left="357" w:hanging="357"/>
        <w:contextualSpacing w:val="0"/>
      </w:pPr>
      <w:r w:rsidRPr="005B0111">
        <w:t xml:space="preserve">To foster and develop education, research and academic leadership amongst Canadian emergency physicians, residents, researchers, and </w:t>
      </w:r>
      <w:proofErr w:type="gramStart"/>
      <w:r w:rsidRPr="005B0111">
        <w:t>students</w:t>
      </w:r>
      <w:proofErr w:type="gramEnd"/>
      <w:r w:rsidRPr="005B0111">
        <w:t xml:space="preserve"> </w:t>
      </w:r>
    </w:p>
    <w:p w14:paraId="650AC49B" w14:textId="77777777" w:rsidR="00F33BC7" w:rsidRPr="005B0111" w:rsidRDefault="00F33BC7" w:rsidP="00F33BC7">
      <w:pPr>
        <w:pStyle w:val="ListParagraph"/>
        <w:numPr>
          <w:ilvl w:val="0"/>
          <w:numId w:val="26"/>
        </w:numPr>
        <w:spacing w:after="0" w:line="240" w:lineRule="auto"/>
      </w:pPr>
      <w:r w:rsidRPr="005B0111">
        <w:t xml:space="preserve">To provide mentorship in academic emergency medicine (EM) </w:t>
      </w:r>
    </w:p>
    <w:p w14:paraId="7F00DEC9" w14:textId="52E01859" w:rsidR="00024E34" w:rsidRPr="00024E34" w:rsidRDefault="00024E34" w:rsidP="00F33BC7">
      <w:pPr>
        <w:pStyle w:val="NoSpacing"/>
        <w:rPr>
          <w:b w:val="0"/>
          <w:sz w:val="24"/>
          <w:szCs w:val="24"/>
        </w:rPr>
      </w:pPr>
    </w:p>
    <w:p w14:paraId="5F6FC765" w14:textId="77777777" w:rsidR="00024E34" w:rsidRPr="005E3D98" w:rsidRDefault="00024E34" w:rsidP="00517115">
      <w:pPr>
        <w:pStyle w:val="NoSpacing"/>
        <w:rPr>
          <w:sz w:val="24"/>
          <w:szCs w:val="24"/>
        </w:rPr>
      </w:pPr>
    </w:p>
    <w:p w14:paraId="5E4149A0" w14:textId="7127472D" w:rsidR="00B8629C" w:rsidRPr="00EA3F87" w:rsidRDefault="007C7839" w:rsidP="00B047B6">
      <w:pPr>
        <w:pStyle w:val="Heading1"/>
      </w:pPr>
      <w:r>
        <w:t>Academic Section Domains and Committees</w:t>
      </w:r>
    </w:p>
    <w:p w14:paraId="69CC0BD5" w14:textId="77777777" w:rsidR="00D678D9" w:rsidRDefault="00D678D9" w:rsidP="00D678D9">
      <w:pPr>
        <w:pStyle w:val="Heading1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</w:p>
    <w:p w14:paraId="1DBFD626" w14:textId="1FB210F8" w:rsidR="007C7839" w:rsidRDefault="007C7839" w:rsidP="00D678D9">
      <w:pPr>
        <w:pStyle w:val="Heading1"/>
        <w:numPr>
          <w:ilvl w:val="0"/>
          <w:numId w:val="0"/>
        </w:numPr>
        <w:rPr>
          <w:rFonts w:asciiTheme="majorHAnsi" w:hAnsiTheme="majorHAnsi"/>
          <w:b w:val="0"/>
          <w:sz w:val="22"/>
          <w:szCs w:val="22"/>
        </w:rPr>
      </w:pPr>
      <w:r w:rsidRPr="007C7839">
        <w:rPr>
          <w:rFonts w:asciiTheme="majorHAnsi" w:hAnsiTheme="majorHAnsi"/>
          <w:b w:val="0"/>
          <w:sz w:val="22"/>
          <w:szCs w:val="22"/>
        </w:rPr>
        <w:t xml:space="preserve">The Academic Section is comprised of the </w:t>
      </w:r>
      <w:r w:rsidR="00D678D9">
        <w:rPr>
          <w:rFonts w:asciiTheme="majorHAnsi" w:hAnsiTheme="majorHAnsi"/>
          <w:b w:val="0"/>
          <w:sz w:val="22"/>
          <w:szCs w:val="22"/>
        </w:rPr>
        <w:t>four</w:t>
      </w:r>
      <w:r w:rsidRPr="007C7839">
        <w:rPr>
          <w:rFonts w:asciiTheme="majorHAnsi" w:hAnsiTheme="majorHAnsi"/>
          <w:b w:val="0"/>
          <w:sz w:val="22"/>
          <w:szCs w:val="22"/>
        </w:rPr>
        <w:t xml:space="preserve"> core domains (Academic Leadership, Education Scholarship, Research</w:t>
      </w:r>
      <w:r w:rsidR="00D678D9">
        <w:rPr>
          <w:rFonts w:asciiTheme="majorHAnsi" w:hAnsiTheme="majorHAnsi"/>
          <w:b w:val="0"/>
          <w:sz w:val="22"/>
          <w:szCs w:val="22"/>
        </w:rPr>
        <w:t xml:space="preserve"> and Quality Improvement and Patient Safety</w:t>
      </w:r>
      <w:r w:rsidRPr="007C7839">
        <w:rPr>
          <w:rFonts w:asciiTheme="majorHAnsi" w:hAnsiTheme="majorHAnsi"/>
          <w:b w:val="0"/>
          <w:sz w:val="22"/>
          <w:szCs w:val="22"/>
        </w:rPr>
        <w:t xml:space="preserve">). There are currently </w:t>
      </w:r>
      <w:r w:rsidR="00D678D9">
        <w:rPr>
          <w:rFonts w:asciiTheme="majorHAnsi" w:hAnsiTheme="majorHAnsi"/>
          <w:b w:val="0"/>
          <w:sz w:val="22"/>
          <w:szCs w:val="22"/>
        </w:rPr>
        <w:t>five</w:t>
      </w:r>
      <w:r w:rsidRPr="007C7839">
        <w:rPr>
          <w:rFonts w:asciiTheme="majorHAnsi" w:hAnsiTheme="majorHAnsi"/>
          <w:b w:val="0"/>
          <w:sz w:val="22"/>
          <w:szCs w:val="22"/>
        </w:rPr>
        <w:t xml:space="preserve"> committees within these domains, each reporting directly and independently to the Academic Executive.</w:t>
      </w:r>
      <w:r w:rsidR="00D678D9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0E7F3541" w14:textId="4E01AC3D" w:rsidR="00D678D9" w:rsidRPr="00D678D9" w:rsidRDefault="00D678D9" w:rsidP="00D678D9">
      <w:pPr>
        <w:spacing w:after="0" w:line="240" w:lineRule="auto"/>
        <w:rPr>
          <w:b/>
          <w:bCs/>
          <w:i/>
          <w:iCs/>
        </w:rPr>
      </w:pPr>
      <w:r w:rsidRPr="00D678D9">
        <w:rPr>
          <w:b/>
          <w:bCs/>
          <w:i/>
          <w:iCs/>
        </w:rPr>
        <w:t>Academic Leadership Domain</w:t>
      </w:r>
    </w:p>
    <w:p w14:paraId="0283DBDF" w14:textId="20B85F97" w:rsidR="00D678D9" w:rsidRDefault="00D678D9" w:rsidP="00D678D9">
      <w:pPr>
        <w:spacing w:after="0" w:line="240" w:lineRule="auto"/>
      </w:pPr>
      <w:r>
        <w:t>Leadership Committee</w:t>
      </w:r>
    </w:p>
    <w:p w14:paraId="721E5679" w14:textId="080C8104" w:rsidR="00D678D9" w:rsidRDefault="00D678D9" w:rsidP="00D678D9">
      <w:pPr>
        <w:spacing w:after="0" w:line="240" w:lineRule="auto"/>
      </w:pPr>
      <w:r>
        <w:t>Objectives:</w:t>
      </w:r>
    </w:p>
    <w:p w14:paraId="72D779FF" w14:textId="5ADF26C7" w:rsidR="00D678D9" w:rsidRDefault="00D678D9" w:rsidP="00D678D9">
      <w:pPr>
        <w:pStyle w:val="ListParagraph"/>
        <w:numPr>
          <w:ilvl w:val="0"/>
          <w:numId w:val="29"/>
        </w:numPr>
      </w:pPr>
      <w:r>
        <w:t>Create a database of academic activities, physician leaders, infrastructure, and resources at each Canadian medical school.</w:t>
      </w:r>
    </w:p>
    <w:p w14:paraId="4F700EFE" w14:textId="676E2477" w:rsidR="00D678D9" w:rsidRDefault="00D678D9" w:rsidP="00D678D9">
      <w:pPr>
        <w:pStyle w:val="ListParagraph"/>
        <w:numPr>
          <w:ilvl w:val="0"/>
          <w:numId w:val="29"/>
        </w:numPr>
      </w:pPr>
      <w:r>
        <w:t>Support academic EM departments, divisions or units at each medical school and teaching hospital to ensure appropriate status, resources, and infrastructure.</w:t>
      </w:r>
    </w:p>
    <w:p w14:paraId="18FBFAB8" w14:textId="2C60DAFD" w:rsidR="00D678D9" w:rsidRDefault="00D678D9" w:rsidP="00D678D9">
      <w:pPr>
        <w:pStyle w:val="ListParagraph"/>
        <w:numPr>
          <w:ilvl w:val="0"/>
          <w:numId w:val="29"/>
        </w:numPr>
      </w:pPr>
      <w:r>
        <w:t>Promote the training and development of academic leaders of Canadian EM.</w:t>
      </w:r>
    </w:p>
    <w:p w14:paraId="15CE3385" w14:textId="6AE80D77" w:rsidR="00D678D9" w:rsidRDefault="00D678D9" w:rsidP="00D678D9">
      <w:pPr>
        <w:pStyle w:val="ListParagraph"/>
        <w:numPr>
          <w:ilvl w:val="0"/>
          <w:numId w:val="29"/>
        </w:numPr>
      </w:pPr>
      <w:r>
        <w:t>Encourage Canadian EPs at medical schools and teaching hospitals to join and actively participate in CAEP.</w:t>
      </w:r>
    </w:p>
    <w:p w14:paraId="47EFEB40" w14:textId="2254394F" w:rsidR="00D678D9" w:rsidRPr="00D678D9" w:rsidRDefault="00D678D9" w:rsidP="00D678D9">
      <w:pPr>
        <w:pStyle w:val="ListParagraph"/>
        <w:numPr>
          <w:ilvl w:val="0"/>
          <w:numId w:val="29"/>
        </w:numPr>
      </w:pPr>
      <w:r>
        <w:t>Promote strong representation on the CAEP Board by physicians from medical schools and teaching hospitals.</w:t>
      </w:r>
    </w:p>
    <w:p w14:paraId="72DC2448" w14:textId="77777777" w:rsidR="00D678D9" w:rsidRPr="00D678D9" w:rsidRDefault="00D678D9" w:rsidP="00D678D9">
      <w:pPr>
        <w:pStyle w:val="Heading2"/>
        <w:numPr>
          <w:ilvl w:val="0"/>
          <w:numId w:val="0"/>
        </w:numPr>
        <w:spacing w:after="0"/>
        <w:rPr>
          <w:bCs/>
          <w:i/>
          <w:iCs/>
        </w:rPr>
      </w:pPr>
      <w:r w:rsidRPr="00D678D9">
        <w:rPr>
          <w:bCs/>
          <w:i/>
          <w:iCs/>
        </w:rPr>
        <w:t>Education Scholarship Domain</w:t>
      </w:r>
    </w:p>
    <w:p w14:paraId="0268C87C" w14:textId="496B7216" w:rsidR="00D678D9" w:rsidRPr="005B0111" w:rsidRDefault="00D678D9" w:rsidP="00D678D9">
      <w:pPr>
        <w:spacing w:after="0" w:line="240" w:lineRule="auto"/>
      </w:pPr>
      <w:r w:rsidRPr="005B0111">
        <w:t>Education Scholarship Committee</w:t>
      </w:r>
    </w:p>
    <w:p w14:paraId="08DFE6EF" w14:textId="77777777" w:rsidR="00D678D9" w:rsidRPr="005B0111" w:rsidRDefault="00D678D9" w:rsidP="00D678D9">
      <w:pPr>
        <w:spacing w:after="0" w:line="240" w:lineRule="auto"/>
      </w:pPr>
      <w:r w:rsidRPr="005B0111">
        <w:t>Objectives:</w:t>
      </w:r>
    </w:p>
    <w:p w14:paraId="10AB26E9" w14:textId="77777777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lastRenderedPageBreak/>
        <w:t>Support teaching programs and directors in the education of medical students, EM residents, off-service residents, EM fellows, faculty physicians, community physicians, and allied health professionals.</w:t>
      </w:r>
    </w:p>
    <w:p w14:paraId="11007914" w14:textId="77777777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 xml:space="preserve">Support specific EM educational programs, </w:t>
      </w:r>
      <w:proofErr w:type="gramStart"/>
      <w:r w:rsidRPr="0092115A">
        <w:t>e.g.</w:t>
      </w:r>
      <w:proofErr w:type="gramEnd"/>
      <w:r w:rsidRPr="0092115A">
        <w:t xml:space="preserve"> ultrasound, simulation.</w:t>
      </w:r>
    </w:p>
    <w:p w14:paraId="5A31A096" w14:textId="77777777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>Promote scholarship of educational innovations through evaluation and dissemination.</w:t>
      </w:r>
    </w:p>
    <w:p w14:paraId="3CEA720C" w14:textId="77777777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>Promote the training and development of education scholars.</w:t>
      </w:r>
    </w:p>
    <w:p w14:paraId="09260689" w14:textId="77777777" w:rsidR="00D678D9" w:rsidRPr="00D678D9" w:rsidRDefault="00D678D9" w:rsidP="0092115A">
      <w:pPr>
        <w:pStyle w:val="ListParagraph"/>
        <w:numPr>
          <w:ilvl w:val="0"/>
          <w:numId w:val="29"/>
        </w:numPr>
        <w:rPr>
          <w:i/>
          <w:iCs/>
        </w:rPr>
      </w:pPr>
      <w:r w:rsidRPr="0092115A">
        <w:t>Promote the development of clinician teachers amongst emergency physicians and residents</w:t>
      </w:r>
      <w:r w:rsidRPr="00D678D9">
        <w:rPr>
          <w:i/>
          <w:iCs/>
        </w:rPr>
        <w:t>.</w:t>
      </w:r>
    </w:p>
    <w:p w14:paraId="03901B9E" w14:textId="77777777" w:rsidR="00D678D9" w:rsidRDefault="00D678D9" w:rsidP="00D678D9">
      <w:pPr>
        <w:pStyle w:val="Heading2"/>
        <w:numPr>
          <w:ilvl w:val="0"/>
          <w:numId w:val="0"/>
        </w:numPr>
        <w:spacing w:after="0"/>
      </w:pPr>
    </w:p>
    <w:p w14:paraId="7525ED53" w14:textId="1CA86750" w:rsidR="00D678D9" w:rsidRPr="00D678D9" w:rsidRDefault="00D678D9" w:rsidP="00D678D9">
      <w:pPr>
        <w:pStyle w:val="Heading2"/>
        <w:numPr>
          <w:ilvl w:val="0"/>
          <w:numId w:val="0"/>
        </w:numPr>
        <w:spacing w:after="0"/>
        <w:rPr>
          <w:i/>
          <w:iCs/>
        </w:rPr>
      </w:pPr>
      <w:r w:rsidRPr="00D678D9">
        <w:rPr>
          <w:i/>
          <w:iCs/>
        </w:rPr>
        <w:t>Research Domain</w:t>
      </w:r>
    </w:p>
    <w:p w14:paraId="1E1A61C8" w14:textId="7BA12B00" w:rsidR="00D678D9" w:rsidRDefault="00D678D9" w:rsidP="00D678D9">
      <w:pPr>
        <w:spacing w:after="0" w:line="240" w:lineRule="auto"/>
      </w:pPr>
      <w:r>
        <w:t>Research Committee</w:t>
      </w:r>
    </w:p>
    <w:p w14:paraId="2C82B855" w14:textId="60AF2CCD" w:rsidR="00D678D9" w:rsidRDefault="00D678D9" w:rsidP="00D678D9">
      <w:pPr>
        <w:spacing w:after="0" w:line="240" w:lineRule="auto"/>
      </w:pPr>
      <w:r>
        <w:t xml:space="preserve">Objectives: </w:t>
      </w:r>
    </w:p>
    <w:p w14:paraId="1057286A" w14:textId="77777777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>Promote high-quality research that improves patient care across Canada.</w:t>
      </w:r>
    </w:p>
    <w:p w14:paraId="7AB62134" w14:textId="77777777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 w:rsidDel="00607027">
        <w:t>Promote the training, development, and support of qualified EM researchers</w:t>
      </w:r>
      <w:r w:rsidRPr="0092115A">
        <w:t>.</w:t>
      </w:r>
    </w:p>
    <w:p w14:paraId="3824B8A9" w14:textId="77777777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>Enhance collaboration amongst Canadian centres to conduct impactful EM research.</w:t>
      </w:r>
    </w:p>
    <w:p w14:paraId="73CCED1B" w14:textId="77777777" w:rsidR="00D678D9" w:rsidRPr="0092115A" w:rsidDel="00607027" w:rsidRDefault="00D678D9" w:rsidP="0092115A">
      <w:pPr>
        <w:pStyle w:val="ListParagraph"/>
        <w:numPr>
          <w:ilvl w:val="0"/>
          <w:numId w:val="29"/>
        </w:numPr>
      </w:pPr>
      <w:r w:rsidRPr="0092115A" w:rsidDel="00607027">
        <w:t>Increase participation in CJEM activities at Canadian medical schools and teaching hospitals</w:t>
      </w:r>
      <w:r w:rsidRPr="0092115A">
        <w:t>.</w:t>
      </w:r>
    </w:p>
    <w:p w14:paraId="7DDDC430" w14:textId="260C3E68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 xml:space="preserve">Evaluate research </w:t>
      </w:r>
      <w:r w:rsidR="00833D4C">
        <w:t xml:space="preserve">conference abstract </w:t>
      </w:r>
      <w:r w:rsidRPr="0092115A">
        <w:t>submissions via a peer-review method for the purpose of identifying high-quality presentations for CAEP’s Annual Conference.</w:t>
      </w:r>
    </w:p>
    <w:p w14:paraId="3FBC547B" w14:textId="0E5D3256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 xml:space="preserve">Evaluate research grant proposals via a peer-review method for the purpose of supporting high-quality </w:t>
      </w:r>
      <w:proofErr w:type="gramStart"/>
      <w:r w:rsidRPr="0092115A">
        <w:t>projects</w:t>
      </w:r>
      <w:proofErr w:type="gramEnd"/>
      <w:r w:rsidRPr="0092115A">
        <w:t xml:space="preserve"> </w:t>
      </w:r>
    </w:p>
    <w:p w14:paraId="4F56DEBD" w14:textId="15B3EBA5" w:rsidR="00833D4C" w:rsidRDefault="00833D4C" w:rsidP="00833D4C">
      <w:pPr>
        <w:pStyle w:val="ListParagraph"/>
        <w:numPr>
          <w:ilvl w:val="0"/>
          <w:numId w:val="29"/>
        </w:numPr>
      </w:pPr>
      <w:r w:rsidRPr="00833D4C">
        <w:t>Using a peer-review method, evaluate applications to the Ian Stiell Researcher of the Year competition and the research abstract awards.</w:t>
      </w:r>
    </w:p>
    <w:p w14:paraId="3701D404" w14:textId="53BE873C" w:rsidR="00D678D9" w:rsidRPr="0092115A" w:rsidRDefault="00D678D9" w:rsidP="0092115A">
      <w:pPr>
        <w:pStyle w:val="ListParagraph"/>
        <w:numPr>
          <w:ilvl w:val="0"/>
          <w:numId w:val="29"/>
        </w:numPr>
      </w:pPr>
      <w:r w:rsidRPr="0092115A">
        <w:t>Review and approve research surveys from CAEP members to be distributed to the consenting CAEP members.</w:t>
      </w:r>
    </w:p>
    <w:p w14:paraId="393836D7" w14:textId="44CBC85E" w:rsidR="00D678D9" w:rsidRDefault="00D678D9" w:rsidP="0092115A">
      <w:pPr>
        <w:pStyle w:val="ListParagraph"/>
        <w:numPr>
          <w:ilvl w:val="0"/>
          <w:numId w:val="29"/>
        </w:numPr>
      </w:pPr>
      <w:r w:rsidRPr="0092115A">
        <w:t>Review research protocols to provide letters of endorsement.</w:t>
      </w:r>
    </w:p>
    <w:p w14:paraId="3A373CD4" w14:textId="2BAA3FFA" w:rsidR="0092115A" w:rsidRDefault="0092115A" w:rsidP="00D678D9">
      <w:pPr>
        <w:spacing w:after="0" w:line="240" w:lineRule="auto"/>
      </w:pPr>
      <w:r>
        <w:t xml:space="preserve">Network of Canadian Emergency Researchers </w:t>
      </w:r>
    </w:p>
    <w:p w14:paraId="22ABD020" w14:textId="305B4468" w:rsidR="0092115A" w:rsidRDefault="0092115A" w:rsidP="00D678D9">
      <w:pPr>
        <w:spacing w:after="0" w:line="240" w:lineRule="auto"/>
      </w:pPr>
      <w:r>
        <w:t>Objectives:</w:t>
      </w:r>
    </w:p>
    <w:p w14:paraId="55C3D886" w14:textId="77777777" w:rsidR="0092115A" w:rsidRPr="005B0111" w:rsidRDefault="0092115A" w:rsidP="0092115A">
      <w:pPr>
        <w:pStyle w:val="ListParagraph"/>
        <w:numPr>
          <w:ilvl w:val="0"/>
          <w:numId w:val="29"/>
        </w:numPr>
      </w:pPr>
      <w:r w:rsidRPr="005B0111">
        <w:t>To lead internationally in the conduct of high-impact emergency care research</w:t>
      </w:r>
    </w:p>
    <w:p w14:paraId="55567FC5" w14:textId="77777777" w:rsidR="0092115A" w:rsidRPr="005B0111" w:rsidRDefault="0092115A" w:rsidP="0092115A">
      <w:pPr>
        <w:pStyle w:val="ListParagraph"/>
        <w:numPr>
          <w:ilvl w:val="0"/>
          <w:numId w:val="29"/>
        </w:numPr>
      </w:pPr>
      <w:r w:rsidRPr="005B0111">
        <w:t>To collaborate with colleagues and interdisciplinary collaborators across the nation and beyond</w:t>
      </w:r>
    </w:p>
    <w:p w14:paraId="72709968" w14:textId="77777777" w:rsidR="0092115A" w:rsidRPr="005B0111" w:rsidRDefault="0092115A" w:rsidP="0092115A">
      <w:pPr>
        <w:pStyle w:val="ListParagraph"/>
        <w:numPr>
          <w:ilvl w:val="0"/>
          <w:numId w:val="29"/>
        </w:numPr>
      </w:pPr>
      <w:r w:rsidRPr="005B0111">
        <w:t>To build capacity in Canadian emergency care research</w:t>
      </w:r>
    </w:p>
    <w:p w14:paraId="64BA19C0" w14:textId="77777777" w:rsidR="0092115A" w:rsidRPr="005B0111" w:rsidRDefault="0092115A" w:rsidP="0092115A">
      <w:pPr>
        <w:pStyle w:val="ListParagraph"/>
        <w:numPr>
          <w:ilvl w:val="0"/>
          <w:numId w:val="29"/>
        </w:numPr>
      </w:pPr>
      <w:r w:rsidRPr="005B0111">
        <w:t xml:space="preserve">To disseminate our findings through knowledge translation and exchange, ensuring the science has an impact on care, education scholarship, policy decisions, outcomes, and systems of </w:t>
      </w:r>
      <w:proofErr w:type="gramStart"/>
      <w:r w:rsidRPr="005B0111">
        <w:t>care</w:t>
      </w:r>
      <w:proofErr w:type="gramEnd"/>
    </w:p>
    <w:p w14:paraId="3E76C2F9" w14:textId="44C5B886" w:rsidR="0092115A" w:rsidRPr="0092115A" w:rsidRDefault="0092115A" w:rsidP="00D678D9">
      <w:pPr>
        <w:spacing w:after="0" w:line="240" w:lineRule="auto"/>
        <w:rPr>
          <w:b/>
          <w:bCs/>
          <w:i/>
          <w:iCs/>
        </w:rPr>
      </w:pPr>
      <w:r w:rsidRPr="0092115A">
        <w:rPr>
          <w:b/>
          <w:bCs/>
          <w:i/>
          <w:iCs/>
        </w:rPr>
        <w:t>Quality Improvement and Patient Safety (QIPS) Domain</w:t>
      </w:r>
    </w:p>
    <w:p w14:paraId="16F14B7A" w14:textId="33F599E8" w:rsidR="0092115A" w:rsidRDefault="0092115A" w:rsidP="00D678D9">
      <w:pPr>
        <w:spacing w:after="0" w:line="240" w:lineRule="auto"/>
      </w:pPr>
      <w:r>
        <w:t>QIPS Committee</w:t>
      </w:r>
    </w:p>
    <w:p w14:paraId="21AD183D" w14:textId="77777777" w:rsidR="0092115A" w:rsidRDefault="0092115A" w:rsidP="00D678D9">
      <w:pPr>
        <w:spacing w:after="0" w:line="240" w:lineRule="auto"/>
      </w:pPr>
      <w:r>
        <w:t>Objectives:</w:t>
      </w:r>
    </w:p>
    <w:p w14:paraId="5807DF0F" w14:textId="001F9C00" w:rsidR="0092115A" w:rsidRPr="0092115A" w:rsidRDefault="0092115A" w:rsidP="0092115A">
      <w:pPr>
        <w:pStyle w:val="ListParagraph"/>
        <w:numPr>
          <w:ilvl w:val="0"/>
          <w:numId w:val="29"/>
        </w:numPr>
      </w:pPr>
      <w:r w:rsidRPr="0092115A">
        <w:t xml:space="preserve">TO ENGAGE: To engage EM physicians, residents, and medical students with an interest in QIPS across </w:t>
      </w:r>
      <w:proofErr w:type="gramStart"/>
      <w:r w:rsidRPr="0092115A">
        <w:t>Canada;</w:t>
      </w:r>
      <w:proofErr w:type="gramEnd"/>
    </w:p>
    <w:p w14:paraId="008A817A" w14:textId="1D85812D" w:rsidR="0092115A" w:rsidRPr="0092115A" w:rsidRDefault="0092115A" w:rsidP="0092115A">
      <w:pPr>
        <w:pStyle w:val="ListParagraph"/>
        <w:numPr>
          <w:ilvl w:val="0"/>
          <w:numId w:val="29"/>
        </w:numPr>
      </w:pPr>
      <w:r w:rsidRPr="0092115A">
        <w:t xml:space="preserve">TO CONNECT: To provide a forum for EM practitioners in Canada to discuss issues of and solutions to quality and safety in the </w:t>
      </w:r>
      <w:proofErr w:type="gramStart"/>
      <w:r w:rsidRPr="0092115A">
        <w:t>ED;</w:t>
      </w:r>
      <w:proofErr w:type="gramEnd"/>
    </w:p>
    <w:p w14:paraId="791E5923" w14:textId="674357A0" w:rsidR="0092115A" w:rsidRPr="0092115A" w:rsidRDefault="0092115A" w:rsidP="0092115A">
      <w:pPr>
        <w:pStyle w:val="ListParagraph"/>
        <w:numPr>
          <w:ilvl w:val="0"/>
          <w:numId w:val="29"/>
        </w:numPr>
      </w:pPr>
      <w:r w:rsidRPr="0092115A">
        <w:t xml:space="preserve">TO MENTOR: To provide information and mentorship to ED staff and trainees about training, certification and other opportunities as they pertain to QI and PS, in order to build </w:t>
      </w:r>
      <w:proofErr w:type="gramStart"/>
      <w:r w:rsidRPr="0092115A">
        <w:t>capacity;</w:t>
      </w:r>
      <w:proofErr w:type="gramEnd"/>
    </w:p>
    <w:p w14:paraId="0BAA85D9" w14:textId="4708F3E6" w:rsidR="0092115A" w:rsidRPr="0092115A" w:rsidRDefault="0092115A" w:rsidP="0092115A">
      <w:pPr>
        <w:pStyle w:val="ListParagraph"/>
        <w:numPr>
          <w:ilvl w:val="0"/>
          <w:numId w:val="29"/>
        </w:numPr>
      </w:pPr>
      <w:r w:rsidRPr="0092115A">
        <w:t xml:space="preserve">TO ADVANCE: To advance the fields of QI and PS in EM, from both an academic and clinical standpoint, through country-wide </w:t>
      </w:r>
      <w:proofErr w:type="gramStart"/>
      <w:r w:rsidRPr="0092115A">
        <w:t>collaborations;</w:t>
      </w:r>
      <w:proofErr w:type="gramEnd"/>
    </w:p>
    <w:p w14:paraId="51E6BA92" w14:textId="497373DF" w:rsidR="0092115A" w:rsidRPr="0092115A" w:rsidRDefault="0092115A" w:rsidP="0092115A">
      <w:pPr>
        <w:pStyle w:val="ListParagraph"/>
        <w:numPr>
          <w:ilvl w:val="0"/>
          <w:numId w:val="29"/>
        </w:numPr>
      </w:pPr>
      <w:r w:rsidRPr="0092115A">
        <w:t>TO REPRESENT: To liaise with internal (e.g., CAEP’s Academic Section of EM) and external (e.g., International Federation for Emergency Medicine [IFEM]) on issues that pertain to QI and PS.</w:t>
      </w:r>
      <w:r>
        <w:t xml:space="preserve"> </w:t>
      </w:r>
    </w:p>
    <w:p w14:paraId="4F619348" w14:textId="77777777" w:rsidR="0092115A" w:rsidRPr="007C7839" w:rsidRDefault="0092115A" w:rsidP="00D678D9">
      <w:pPr>
        <w:spacing w:after="0" w:line="240" w:lineRule="auto"/>
      </w:pPr>
    </w:p>
    <w:p w14:paraId="67080F6C" w14:textId="67192401" w:rsidR="00892F06" w:rsidRDefault="004D5B11" w:rsidP="007C7839">
      <w:pPr>
        <w:pStyle w:val="Heading1"/>
      </w:pPr>
      <w:r>
        <w:t>Accountability</w:t>
      </w:r>
      <w:r w:rsidR="00892F06">
        <w:t>:</w:t>
      </w:r>
    </w:p>
    <w:p w14:paraId="3CA4EDD0" w14:textId="2A494DEF" w:rsidR="00892F06" w:rsidRPr="00892F06" w:rsidRDefault="00892F06" w:rsidP="00892F06">
      <w:r>
        <w:t xml:space="preserve">The </w:t>
      </w:r>
      <w:r w:rsidR="000E1374">
        <w:t>Section</w:t>
      </w:r>
      <w:r>
        <w:t xml:space="preserve"> reports </w:t>
      </w:r>
      <w:r w:rsidR="004D5B11">
        <w:t xml:space="preserve">to </w:t>
      </w:r>
      <w:r>
        <w:t>and is accountable to the Board of Directors of CAEP</w:t>
      </w:r>
      <w:r w:rsidR="0007536E">
        <w:t xml:space="preserve"> as outlined in the CAEP Bylaws (Section 17.1.2)</w:t>
      </w:r>
      <w:r>
        <w:t>. All intellectual property produced by th</w:t>
      </w:r>
      <w:r w:rsidR="000E1374">
        <w:t>e Sections and its</w:t>
      </w:r>
      <w:r>
        <w:t xml:space="preserve"> committee will be owned by CAEP.</w:t>
      </w:r>
    </w:p>
    <w:p w14:paraId="1F10B399" w14:textId="1F0B9120" w:rsidR="00A40DFC" w:rsidRDefault="00DC35FF" w:rsidP="00B047B6">
      <w:pPr>
        <w:pStyle w:val="Heading1"/>
      </w:pPr>
      <w:r>
        <w:t>Activities</w:t>
      </w:r>
      <w:r w:rsidR="00CF4AC8">
        <w:rPr>
          <w:rStyle w:val="FootnoteReference"/>
        </w:rPr>
        <w:footnoteReference w:id="1"/>
      </w:r>
      <w:r w:rsidR="00A40DFC" w:rsidRPr="00D90C88">
        <w:t xml:space="preserve">: </w:t>
      </w:r>
    </w:p>
    <w:p w14:paraId="2C1E9100" w14:textId="34DDF1C8" w:rsidR="0007536E" w:rsidRDefault="00DC35FF" w:rsidP="00DC35FF">
      <w:pPr>
        <w:spacing w:after="0" w:line="240" w:lineRule="auto"/>
      </w:pPr>
      <w:r>
        <w:t>Annual Academic Symposium</w:t>
      </w:r>
    </w:p>
    <w:p w14:paraId="1363AB16" w14:textId="09686A26" w:rsidR="00DC35FF" w:rsidRPr="005B0111" w:rsidRDefault="00DC35FF" w:rsidP="00DC35FF">
      <w:pPr>
        <w:pStyle w:val="ListParagraph"/>
        <w:numPr>
          <w:ilvl w:val="0"/>
          <w:numId w:val="34"/>
        </w:numPr>
        <w:spacing w:after="0" w:line="240" w:lineRule="auto"/>
      </w:pPr>
      <w:r w:rsidRPr="005B0111">
        <w:t xml:space="preserve">The Academic Symposium is hosted once every </w:t>
      </w:r>
      <w:r>
        <w:t>four</w:t>
      </w:r>
      <w:r w:rsidRPr="005B0111">
        <w:t xml:space="preserve"> years by </w:t>
      </w:r>
      <w:r>
        <w:t>the research, leadership, education scholarship or QIPS</w:t>
      </w:r>
      <w:r w:rsidRPr="005B0111">
        <w:t xml:space="preserve"> committee to provide practical recommendations on improving EM</w:t>
      </w:r>
      <w:r>
        <w:t>.</w:t>
      </w:r>
      <w:r w:rsidRPr="005B0111">
        <w:t xml:space="preserve"> </w:t>
      </w:r>
    </w:p>
    <w:p w14:paraId="021790A8" w14:textId="54D31933" w:rsidR="00DC35FF" w:rsidRPr="0007536E" w:rsidRDefault="00DC35FF" w:rsidP="00DC35FF">
      <w:pPr>
        <w:pStyle w:val="ListParagraph"/>
        <w:numPr>
          <w:ilvl w:val="0"/>
          <w:numId w:val="34"/>
        </w:numPr>
      </w:pPr>
      <w:r w:rsidRPr="005B0111">
        <w:t>Three panels will be formed, as per the Academic Symposium Terms of Reference, to develop the Academic Symposium</w:t>
      </w:r>
      <w:r>
        <w:t xml:space="preserve"> and will be reviewed and approved by the Section Executive.</w:t>
      </w:r>
    </w:p>
    <w:p w14:paraId="276844CF" w14:textId="72581412" w:rsidR="0007536E" w:rsidRDefault="0007536E" w:rsidP="0007536E">
      <w:pPr>
        <w:pStyle w:val="Heading1"/>
      </w:pPr>
      <w:r>
        <w:t>Membership (if applicable):</w:t>
      </w:r>
    </w:p>
    <w:p w14:paraId="1685FC6F" w14:textId="27B53D44" w:rsidR="00941E30" w:rsidRPr="000B30EA" w:rsidRDefault="0007536E" w:rsidP="000B30EA">
      <w:r>
        <w:t xml:space="preserve">The committee shall be open to all CAEP members (medical student, resident, or staff), with an interest in supporting the committee’s mission, </w:t>
      </w:r>
      <w:proofErr w:type="gramStart"/>
      <w:r>
        <w:t>vision</w:t>
      </w:r>
      <w:proofErr w:type="gramEnd"/>
      <w:r>
        <w:t xml:space="preserve"> and objectives. CAEP membership is required in order to participate with CAEP </w:t>
      </w:r>
      <w:proofErr w:type="gramStart"/>
      <w:r>
        <w:t>Committees</w:t>
      </w:r>
      <w:proofErr w:type="gramEnd"/>
      <w:r>
        <w:t xml:space="preserve"> and its activities as outlined in the CAEP Bylaws (Section 17.1.1)</w:t>
      </w:r>
      <w:r w:rsidR="009764F6">
        <w:t>. Membership will be verified annually in March and any committee members who do not renew will be removed from the Committee.</w:t>
      </w:r>
    </w:p>
    <w:p w14:paraId="2D31ECBE" w14:textId="77777777" w:rsidR="00C000B6" w:rsidRPr="00F5666C" w:rsidRDefault="00503D45" w:rsidP="00B047B6">
      <w:pPr>
        <w:pStyle w:val="Heading1"/>
      </w:pPr>
      <w:r w:rsidRPr="00D90C88">
        <w:t>Deliverabl</w:t>
      </w:r>
      <w:r w:rsidR="005B3FEE" w:rsidRPr="00D90C88">
        <w:t>es</w:t>
      </w:r>
      <w:r w:rsidRPr="00D90C88">
        <w:t>:</w:t>
      </w:r>
      <w:r w:rsidR="00B8629C" w:rsidRPr="00F5666C">
        <w:t xml:space="preserve"> </w:t>
      </w:r>
    </w:p>
    <w:p w14:paraId="6F53F443" w14:textId="77777777" w:rsidR="00497215" w:rsidRPr="005E3D98" w:rsidRDefault="00497215" w:rsidP="00497215">
      <w:pPr>
        <w:pStyle w:val="ListParagraph"/>
        <w:numPr>
          <w:ilvl w:val="0"/>
          <w:numId w:val="19"/>
        </w:numPr>
        <w:spacing w:after="120"/>
        <w:outlineLvl w:val="1"/>
        <w:rPr>
          <w:b/>
          <w:vanish/>
          <w:sz w:val="24"/>
          <w:szCs w:val="24"/>
        </w:rPr>
      </w:pPr>
    </w:p>
    <w:p w14:paraId="02CE93DF" w14:textId="77777777" w:rsidR="00497215" w:rsidRPr="005E3D98" w:rsidRDefault="00497215" w:rsidP="00497215">
      <w:pPr>
        <w:pStyle w:val="ListParagraph"/>
        <w:numPr>
          <w:ilvl w:val="0"/>
          <w:numId w:val="19"/>
        </w:numPr>
        <w:spacing w:after="120"/>
        <w:outlineLvl w:val="1"/>
        <w:rPr>
          <w:b/>
          <w:vanish/>
          <w:sz w:val="24"/>
          <w:szCs w:val="24"/>
        </w:rPr>
      </w:pPr>
    </w:p>
    <w:p w14:paraId="4A0B8A48" w14:textId="77777777" w:rsidR="00497215" w:rsidRPr="005E3D98" w:rsidRDefault="00497215" w:rsidP="00497215">
      <w:pPr>
        <w:pStyle w:val="ListParagraph"/>
        <w:numPr>
          <w:ilvl w:val="0"/>
          <w:numId w:val="19"/>
        </w:numPr>
        <w:spacing w:after="120"/>
        <w:outlineLvl w:val="1"/>
        <w:rPr>
          <w:b/>
          <w:vanish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1296"/>
        <w:gridCol w:w="6400"/>
      </w:tblGrid>
      <w:tr w:rsidR="00D90C88" w:rsidRPr="000505DA" w14:paraId="433868CC" w14:textId="77777777" w:rsidTr="000505DA">
        <w:tc>
          <w:tcPr>
            <w:tcW w:w="30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C4D5CF" w14:textId="77777777" w:rsidR="00FD54B9" w:rsidRPr="000505DA" w:rsidRDefault="00FD54B9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0505DA">
              <w:rPr>
                <w:rStyle w:val="BulletListChar"/>
                <w:rFonts w:ascii="Arial Black" w:hAnsi="Arial Black"/>
                <w:b/>
                <w:color w:val="000000" w:themeColor="text1"/>
                <w:sz w:val="18"/>
                <w:szCs w:val="18"/>
              </w:rPr>
              <w:t>Report</w:t>
            </w:r>
            <w:r w:rsidR="00552A95" w:rsidRPr="000505DA">
              <w:rPr>
                <w:rStyle w:val="BulletListChar"/>
                <w:rFonts w:ascii="Arial Black" w:hAnsi="Arial Black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154B3507" w14:textId="77777777" w:rsidR="00FD54B9" w:rsidRPr="000505DA" w:rsidRDefault="00FD54B9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0505DA">
              <w:rPr>
                <w:rStyle w:val="BulletListChar"/>
                <w:rFonts w:ascii="Arial Black" w:hAnsi="Arial Black"/>
                <w:b/>
                <w:color w:val="000000" w:themeColor="text1"/>
                <w:sz w:val="18"/>
                <w:szCs w:val="18"/>
              </w:rPr>
              <w:t>Due</w:t>
            </w:r>
          </w:p>
        </w:tc>
        <w:tc>
          <w:tcPr>
            <w:tcW w:w="64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3E0452" w14:textId="77777777" w:rsidR="00FD54B9" w:rsidRPr="000505DA" w:rsidRDefault="00FD54B9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0505DA">
              <w:rPr>
                <w:rStyle w:val="BulletListChar"/>
                <w:rFonts w:ascii="Arial Black" w:hAnsi="Arial Black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</w:tr>
      <w:tr w:rsidR="00552A95" w:rsidRPr="005E3D98" w14:paraId="42A93DE4" w14:textId="77777777" w:rsidTr="007C7839">
        <w:tc>
          <w:tcPr>
            <w:tcW w:w="309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193DFD" w14:textId="77777777" w:rsidR="00FD54B9" w:rsidRPr="007C7839" w:rsidRDefault="00FD54B9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sz w:val="18"/>
                <w:szCs w:val="18"/>
              </w:rPr>
            </w:pPr>
            <w:r w:rsidRPr="007C7839">
              <w:rPr>
                <w:rStyle w:val="BulletListChar"/>
                <w:sz w:val="18"/>
                <w:szCs w:val="18"/>
                <w:u w:val="single"/>
              </w:rPr>
              <w:t>Mandatory</w:t>
            </w:r>
            <w:r w:rsidRPr="007C7839">
              <w:rPr>
                <w:rStyle w:val="BulletListChar"/>
                <w:sz w:val="18"/>
                <w:szCs w:val="18"/>
              </w:rPr>
              <w:t xml:space="preserve"> Annual Report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BFD15" w14:textId="6DA95A93" w:rsidR="00FD54B9" w:rsidRPr="007C7839" w:rsidRDefault="007C7839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sz w:val="18"/>
                <w:szCs w:val="18"/>
              </w:rPr>
            </w:pPr>
            <w:r w:rsidRPr="007C7839">
              <w:rPr>
                <w:rStyle w:val="BulletListChar"/>
                <w:sz w:val="18"/>
                <w:szCs w:val="18"/>
              </w:rPr>
              <w:t>May</w:t>
            </w:r>
          </w:p>
        </w:tc>
        <w:tc>
          <w:tcPr>
            <w:tcW w:w="640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8F73A" w14:textId="6376EE0A" w:rsidR="00F4174E" w:rsidRPr="007C7839" w:rsidRDefault="00F4174E" w:rsidP="00C72AD2">
            <w:pPr>
              <w:pStyle w:val="Listintable"/>
            </w:pPr>
            <w:r w:rsidRPr="007C7839">
              <w:t xml:space="preserve">Current </w:t>
            </w:r>
            <w:r w:rsidR="004D5B11" w:rsidRPr="007C7839">
              <w:t>initiatives</w:t>
            </w:r>
            <w:r w:rsidRPr="007C7839">
              <w:t xml:space="preserve"> and associated results</w:t>
            </w:r>
            <w:r w:rsidR="007C7839" w:rsidRPr="007C7839">
              <w:t xml:space="preserve"> of the Section and the 5 committees</w:t>
            </w:r>
          </w:p>
          <w:p w14:paraId="5C915BC9" w14:textId="77777777" w:rsidR="00FD54B9" w:rsidRPr="007C7839" w:rsidRDefault="00FD54B9" w:rsidP="00C72AD2">
            <w:pPr>
              <w:pStyle w:val="Listintable"/>
            </w:pPr>
            <w:r w:rsidRPr="007C7839">
              <w:t xml:space="preserve">Listing of current committee members </w:t>
            </w:r>
          </w:p>
          <w:p w14:paraId="4F7B278D" w14:textId="77777777" w:rsidR="00FD54B9" w:rsidRPr="007C7839" w:rsidRDefault="00FD54B9" w:rsidP="00C72AD2">
            <w:pPr>
              <w:pStyle w:val="Listintable"/>
              <w:rPr>
                <w:rStyle w:val="BulletListChar"/>
              </w:rPr>
            </w:pPr>
            <w:r w:rsidRPr="007C7839">
              <w:t>Report will be formatted for the CAEP Board, AGM, annual report, and all-committee report</w:t>
            </w:r>
          </w:p>
        </w:tc>
      </w:tr>
      <w:tr w:rsidR="00552A95" w:rsidRPr="005E3D98" w14:paraId="181577F6" w14:textId="77777777" w:rsidTr="007C7839"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B81C5B" w14:textId="77777777" w:rsidR="00FD54B9" w:rsidRPr="007C7839" w:rsidRDefault="00FD54B9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sz w:val="18"/>
                <w:szCs w:val="18"/>
              </w:rPr>
            </w:pPr>
            <w:r w:rsidRPr="007C7839">
              <w:rPr>
                <w:rStyle w:val="BulletListChar"/>
                <w:sz w:val="18"/>
                <w:szCs w:val="18"/>
                <w:u w:val="single"/>
              </w:rPr>
              <w:t>Mandatory</w:t>
            </w:r>
            <w:r w:rsidRPr="007C7839">
              <w:rPr>
                <w:rStyle w:val="BulletListChar"/>
                <w:sz w:val="18"/>
                <w:szCs w:val="18"/>
              </w:rPr>
              <w:t xml:space="preserve"> Committee Member Update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4C8AB" w14:textId="77777777" w:rsidR="00FD54B9" w:rsidRPr="007C7839" w:rsidRDefault="00B921B1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sz w:val="18"/>
                <w:szCs w:val="18"/>
              </w:rPr>
            </w:pPr>
            <w:r w:rsidRPr="007C7839">
              <w:rPr>
                <w:rStyle w:val="BulletListChar"/>
                <w:sz w:val="18"/>
                <w:szCs w:val="18"/>
              </w:rPr>
              <w:t>July</w:t>
            </w:r>
            <w:r w:rsidR="00FD54B9" w:rsidRPr="007C7839">
              <w:rPr>
                <w:rStyle w:val="BulletListChar"/>
                <w:sz w:val="18"/>
                <w:szCs w:val="18"/>
              </w:rPr>
              <w:t xml:space="preserve"> 1</w:t>
            </w: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E96DD" w14:textId="77777777" w:rsidR="00FD54B9" w:rsidRPr="007C7839" w:rsidRDefault="00FD54B9" w:rsidP="00C72AD2">
            <w:pPr>
              <w:pStyle w:val="Listintable"/>
              <w:rPr>
                <w:rStyle w:val="BulletListChar"/>
              </w:rPr>
            </w:pPr>
            <w:r w:rsidRPr="007C7839">
              <w:rPr>
                <w:rStyle w:val="BulletListChar"/>
              </w:rPr>
              <w:t>Chair must be approved by the CAEP Board</w:t>
            </w:r>
          </w:p>
          <w:p w14:paraId="425E580A" w14:textId="77777777" w:rsidR="00CF0158" w:rsidRPr="007C7839" w:rsidRDefault="00CF0158" w:rsidP="00CF0158">
            <w:pPr>
              <w:pStyle w:val="Listintable"/>
              <w:rPr>
                <w:rStyle w:val="BulletListChar"/>
              </w:rPr>
            </w:pPr>
            <w:r w:rsidRPr="007C7839">
              <w:rPr>
                <w:rStyle w:val="BulletListChar"/>
              </w:rPr>
              <w:t xml:space="preserve">Post elections committee member update </w:t>
            </w:r>
          </w:p>
          <w:p w14:paraId="208B38F9" w14:textId="06034516" w:rsidR="00CF0158" w:rsidRPr="007C7839" w:rsidRDefault="00CF0158" w:rsidP="00C72AD2">
            <w:pPr>
              <w:pStyle w:val="Listintable"/>
              <w:rPr>
                <w:rStyle w:val="BulletListChar"/>
              </w:rPr>
            </w:pPr>
            <w:r w:rsidRPr="007C7839">
              <w:rPr>
                <w:rStyle w:val="BulletListChar"/>
              </w:rPr>
              <w:t>All committee members must be CAEP members as per the CAEP by-laws</w:t>
            </w:r>
          </w:p>
        </w:tc>
      </w:tr>
    </w:tbl>
    <w:p w14:paraId="18F26FBC" w14:textId="1B4FC5EF" w:rsidR="000B30EA" w:rsidRDefault="000B30EA" w:rsidP="000B30EA">
      <w:pPr>
        <w:pStyle w:val="Heading1"/>
        <w:numPr>
          <w:ilvl w:val="0"/>
          <w:numId w:val="0"/>
        </w:numPr>
      </w:pPr>
    </w:p>
    <w:p w14:paraId="5E6913E0" w14:textId="77777777" w:rsidR="000B30EA" w:rsidRDefault="000B30EA">
      <w:pPr>
        <w:spacing w:after="160"/>
        <w:rPr>
          <w:rFonts w:ascii="Arial Black" w:hAnsi="Arial Black"/>
          <w:b/>
          <w:sz w:val="28"/>
          <w:szCs w:val="28"/>
        </w:rPr>
      </w:pPr>
      <w:r>
        <w:br w:type="page"/>
      </w:r>
    </w:p>
    <w:p w14:paraId="62831E52" w14:textId="05BB9021" w:rsidR="00A40DFC" w:rsidRPr="00F5666C" w:rsidRDefault="00FC25AB" w:rsidP="00B047B6">
      <w:pPr>
        <w:pStyle w:val="Heading1"/>
      </w:pPr>
      <w:r>
        <w:lastRenderedPageBreak/>
        <w:t>Section</w:t>
      </w:r>
      <w:r w:rsidR="00503D45" w:rsidRPr="00D90C88">
        <w:t xml:space="preserve"> </w:t>
      </w:r>
      <w:r w:rsidR="00F308A8" w:rsidRPr="00D90C88">
        <w:t>roles</w:t>
      </w:r>
      <w:r>
        <w:rPr>
          <w:rStyle w:val="FootnoteReference"/>
        </w:rPr>
        <w:footnoteReference w:id="2"/>
      </w:r>
      <w:r w:rsidR="00503D45" w:rsidRPr="00F5666C">
        <w:t>:</w:t>
      </w:r>
    </w:p>
    <w:tbl>
      <w:tblPr>
        <w:tblStyle w:val="TableGrid"/>
        <w:tblW w:w="0" w:type="auto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3402"/>
        <w:gridCol w:w="850"/>
        <w:gridCol w:w="1128"/>
        <w:gridCol w:w="1167"/>
      </w:tblGrid>
      <w:tr w:rsidR="0021494E" w:rsidRPr="0021494E" w14:paraId="2281AED3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F183D" w14:textId="77777777" w:rsidR="00676192" w:rsidRPr="000505DA" w:rsidRDefault="00676192" w:rsidP="000505DA">
            <w:pPr>
              <w:pStyle w:val="TableHeader"/>
            </w:pPr>
            <w:r w:rsidRPr="000505DA">
              <w:t>Title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1BDF1" w14:textId="77777777" w:rsidR="00676192" w:rsidRPr="000505DA" w:rsidRDefault="00676192" w:rsidP="000505DA">
            <w:pPr>
              <w:pStyle w:val="TableHeader"/>
            </w:pPr>
            <w:r w:rsidRPr="000505DA">
              <w:t>Role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0A1F6" w14:textId="77777777" w:rsidR="00676192" w:rsidRPr="000505DA" w:rsidRDefault="00676192" w:rsidP="000505DA">
            <w:pPr>
              <w:pStyle w:val="TableHeader"/>
            </w:pPr>
            <w:r w:rsidRPr="000505DA">
              <w:t>Voting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24B48" w14:textId="77777777" w:rsidR="00676192" w:rsidRPr="000505DA" w:rsidRDefault="00676192" w:rsidP="000505DA">
            <w:pPr>
              <w:pStyle w:val="TableHeader"/>
            </w:pPr>
            <w:r w:rsidRPr="000505DA"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FF2C" w14:textId="77777777" w:rsidR="00676192" w:rsidRPr="000505DA" w:rsidRDefault="00676192" w:rsidP="000505DA">
            <w:pPr>
              <w:pStyle w:val="TableHeader"/>
            </w:pPr>
            <w:r w:rsidRPr="000505DA">
              <w:t>Term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FF1AE" w14:textId="77777777" w:rsidR="00676192" w:rsidRPr="000505DA" w:rsidRDefault="00676192" w:rsidP="000505DA">
            <w:pPr>
              <w:pStyle w:val="TableHeader"/>
            </w:pPr>
            <w:r w:rsidRPr="000505DA">
              <w:t>Renewal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790FA" w14:textId="77777777" w:rsidR="00676192" w:rsidRPr="0021494E" w:rsidRDefault="00676192" w:rsidP="000505DA">
            <w:pPr>
              <w:pStyle w:val="TableHeader"/>
            </w:pPr>
            <w:r w:rsidRPr="000505DA">
              <w:t>Maximum Term</w:t>
            </w:r>
          </w:p>
        </w:tc>
      </w:tr>
      <w:tr w:rsidR="00676192" w:rsidRPr="005E3D98" w14:paraId="4F760E80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8C9F" w14:textId="77777777" w:rsidR="00676192" w:rsidRPr="005E3D98" w:rsidRDefault="00676192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BA3E7" w14:textId="77777777" w:rsidR="00676192" w:rsidRPr="005E3D98" w:rsidRDefault="0011458E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B9D3A" w14:textId="77777777" w:rsidR="0011458E" w:rsidRPr="005E3D98" w:rsidRDefault="0011458E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D8F7" w14:textId="77777777" w:rsidR="00676192" w:rsidRDefault="00676192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Approved by CAEP Board</w:t>
            </w:r>
          </w:p>
          <w:p w14:paraId="2A156E8E" w14:textId="77777777" w:rsidR="00086BB7" w:rsidRDefault="00086BB7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Chairs Section Meetings</w:t>
            </w:r>
          </w:p>
          <w:p w14:paraId="2AE0A232" w14:textId="77777777" w:rsidR="00086BB7" w:rsidRDefault="00086BB7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Review relevant issues and information for consideration by the Section Executive</w:t>
            </w:r>
          </w:p>
          <w:p w14:paraId="1A2B786A" w14:textId="6E207286" w:rsidR="00086BB7" w:rsidRPr="005E3D98" w:rsidRDefault="00086BB7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Provides an annual report of the Section’s activities to the CAEP Board and membership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32C8" w14:textId="77777777" w:rsidR="00676192" w:rsidRPr="005E3D98" w:rsidRDefault="00676192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3E5F1" w14:textId="25F18573" w:rsidR="00676192" w:rsidRPr="005E3D98" w:rsidRDefault="00CF0158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676192" w:rsidRPr="005E3D9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92CBB" w14:textId="3C70A1B5" w:rsidR="00676192" w:rsidRPr="005E3D98" w:rsidRDefault="00CF0158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676192"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676192" w:rsidRPr="005E3D98" w14:paraId="38E746E4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150B" w14:textId="77777777" w:rsidR="00676192" w:rsidRPr="005E3D98" w:rsidRDefault="00676192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Vice-chair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5151" w14:textId="77777777" w:rsidR="00676192" w:rsidRPr="005E3D98" w:rsidRDefault="00676192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F4FE4" w14:textId="77777777" w:rsidR="00676192" w:rsidRDefault="0011458E" w:rsidP="0003220C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57AE4" w14:textId="3963066B" w:rsidR="00676192" w:rsidRDefault="003B1379" w:rsidP="0003220C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Elected</w:t>
            </w:r>
            <w:r w:rsidR="000E1374">
              <w:rPr>
                <w:rFonts w:asciiTheme="majorHAnsi" w:hAnsiTheme="majorHAnsi"/>
                <w:sz w:val="18"/>
                <w:szCs w:val="18"/>
              </w:rPr>
              <w:t xml:space="preserve"> and approved by CAEP Board</w:t>
            </w:r>
          </w:p>
          <w:p w14:paraId="64DFC240" w14:textId="77777777" w:rsidR="00086BB7" w:rsidRDefault="00086BB7" w:rsidP="0003220C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Supports the chair in overseeing the completion and delegation of tasks required of the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Section</w:t>
            </w:r>
            <w:proofErr w:type="gramEnd"/>
          </w:p>
          <w:p w14:paraId="5E18B1E5" w14:textId="28932925" w:rsidR="00086BB7" w:rsidRPr="005E3D98" w:rsidRDefault="00086BB7" w:rsidP="0003220C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Fills in for the Chair at meetings when the Chair is unable to attend.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96C0" w14:textId="77777777" w:rsidR="00676192" w:rsidRPr="005E3D98" w:rsidRDefault="00676192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D278E" w14:textId="203E2A2A" w:rsidR="00676192" w:rsidRPr="005E3D98" w:rsidRDefault="00CF0158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4A53" w14:textId="4E8B9E5B" w:rsidR="00676192" w:rsidRPr="005E3D98" w:rsidRDefault="00CF0158" w:rsidP="00517115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="0067619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676192" w:rsidRPr="005E3D98">
              <w:rPr>
                <w:rFonts w:asciiTheme="majorHAnsi" w:hAnsiTheme="majorHAnsi"/>
                <w:sz w:val="18"/>
                <w:szCs w:val="18"/>
              </w:rPr>
              <w:t>years</w:t>
            </w:r>
          </w:p>
        </w:tc>
      </w:tr>
      <w:tr w:rsidR="00A374FB" w:rsidRPr="005E3D98" w14:paraId="4D7AC721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000A9" w14:textId="1D1F7CBF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Leadership Committee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3E3D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EAB43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D01FA" w14:textId="7CB8DFD3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Elected and approved by CAEP Board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1CF7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63E4" w14:textId="24136B40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4F7FE" w14:textId="780AFF3A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350FA989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D88A" w14:textId="54E534CE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Education Scholarship Committee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4E9A5" w14:textId="3D0B012F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2BAB" w14:textId="6A3943A2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C18F6" w14:textId="7306EC60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Elected and approved by CAEP Board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670B" w14:textId="2A5C9316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C405" w14:textId="3C8389D6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BE868" w14:textId="1D4B9E3A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43396036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E078E" w14:textId="65F81C8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Research Committee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4A53B" w14:textId="1A7ACB7C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3AFB0" w14:textId="73DD1CCD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7B1F4" w14:textId="51639958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Elected and approved by CAEP Board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AE44" w14:textId="0E04DC30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42B42" w14:textId="6B7FCA8B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C8AE5" w14:textId="208A1DAD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1883D94A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F1FB8" w14:textId="399CD3A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NCER Committee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D2AE" w14:textId="2F5B995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F0201" w14:textId="68165F0B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C9AF5" w14:textId="37DB92CC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Elected and approved by CAEP Board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1847E" w14:textId="36350F73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4B5AF" w14:textId="2C9E711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C13C" w14:textId="55654FAD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5511BABC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75E0A" w14:textId="033CBCE1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QIPS Committee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F6C36" w14:textId="40F10F2D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57DE" w14:textId="7AE00A82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2AA0E" w14:textId="61327411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Elected and approved by CAEP Board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9CB9" w14:textId="20560C9F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3438B" w14:textId="202F0196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2F946" w14:textId="465CA63E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11507F31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6207D" w14:textId="652A54B3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Member at Large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6402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E594B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497C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Elected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2E6C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48E26" w14:textId="4AE57CAD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E0206" w14:textId="4A1E136F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2E1ECFAD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DF33D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Member at Large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93F01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2FACD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C8AD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Elected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A043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EFB7C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2B963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76CE3A4D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E8FA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Member at Large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3A37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4A8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19EB1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Elected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1C62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B24C0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DB32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A374FB" w:rsidRPr="005E3D98" w14:paraId="3297F2FD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F8E16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Member at Large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AD468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81A1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F440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Elected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71158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12B7E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E6867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 xml:space="preserve"> years</w:t>
            </w:r>
          </w:p>
        </w:tc>
      </w:tr>
      <w:tr w:rsidR="00DF606F" w:rsidRPr="005E3D98" w14:paraId="4A49370B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0FCC0" w14:textId="7B47690A" w:rsidR="00DF606F" w:rsidRPr="00DE19CB" w:rsidRDefault="00DF606F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DE19CB">
              <w:rPr>
                <w:rFonts w:asciiTheme="majorHAnsi" w:hAnsiTheme="majorHAnsi"/>
                <w:sz w:val="18"/>
                <w:szCs w:val="18"/>
              </w:rPr>
              <w:t>Past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224D" w14:textId="6460A3DB" w:rsidR="00DF606F" w:rsidRPr="00DE19CB" w:rsidRDefault="00DF606F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DE19CB"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9A190" w14:textId="0C73995F" w:rsidR="00DF606F" w:rsidRPr="00DE19CB" w:rsidRDefault="00DF606F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DE19CB"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7F6FD" w14:textId="77777777" w:rsidR="00DF606F" w:rsidRPr="005E3D98" w:rsidRDefault="00DF606F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B347C" w14:textId="40A5A5AB" w:rsidR="00DF606F" w:rsidRPr="005E3D98" w:rsidRDefault="00DF606F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93418" w14:textId="77777777" w:rsidR="00DF606F" w:rsidRDefault="00DF606F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0354A" w14:textId="1EB0B42B" w:rsidR="00DF606F" w:rsidRDefault="00DF606F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years</w:t>
            </w:r>
          </w:p>
        </w:tc>
      </w:tr>
      <w:tr w:rsidR="00A374FB" w:rsidRPr="005E3D98" w14:paraId="6DF3ED23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301A" w14:textId="7BE198C8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CAEP CPD Committee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2167C" w14:textId="79E0B999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55FFF" w14:textId="3D3D2A0E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A861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87CE9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D13C" w14:textId="7777777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B56D" w14:textId="7777777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4A888017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CC45" w14:textId="7F5E5925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Undergraduate Education Committee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647A9" w14:textId="09693773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7FB02" w14:textId="2480F784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542AF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0DF0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F8C46" w14:textId="7777777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53C55" w14:textId="7777777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228A0693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FB0F" w14:textId="744F485B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Royal College Residency Program Directors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61E9" w14:textId="201149EB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32467" w14:textId="524D905D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4787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E428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98B68" w14:textId="7777777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5C316" w14:textId="7777777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5062A99E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C3A90" w14:textId="0DF177D6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CCFP (EM) Residency Program Directors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F9642" w14:textId="490B4A4B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423B0" w14:textId="512E0778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9FC3E" w14:textId="419FAB85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A02E" w14:textId="57AA76E2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3CD64" w14:textId="2ADC7BDA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5683" w14:textId="22301D30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25E6B27F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86EB9" w14:textId="4BAB1B9C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Pediatric Section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C62C2" w14:textId="7E865092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5851F" w14:textId="01CDEE66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0A52B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313A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61FF0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17ED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7A0A9077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9B82" w14:textId="20F9F5E0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Rural and Small Urban Section Chair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29D8C" w14:textId="0235B8D7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DD19" w14:textId="6200C275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8EEBB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B764A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E67A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97E3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0F9F590F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308C0" w14:textId="767778EE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Resident Section Member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39899" w14:textId="227EB49A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2002C" w14:textId="71E335C3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D629D" w14:textId="7BCF85F1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Determined through Resident Section Elections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F793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BABE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2B390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14B30851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1FDEB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CAEP President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134F" w14:textId="4A75ADC2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CB01D" w14:textId="1F97C6F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D3076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8F63B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 xml:space="preserve">See </w:t>
            </w:r>
            <w:r>
              <w:rPr>
                <w:rFonts w:asciiTheme="majorHAnsi" w:hAnsiTheme="majorHAnsi"/>
                <w:sz w:val="18"/>
                <w:szCs w:val="18"/>
              </w:rPr>
              <w:t>C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>AEP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3D98">
              <w:rPr>
                <w:rFonts w:asciiTheme="majorHAnsi" w:hAnsiTheme="majorHAnsi"/>
                <w:sz w:val="18"/>
                <w:szCs w:val="18"/>
              </w:rPr>
              <w:t>Bylaws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B2DB2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4CDAB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05566087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2D42F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CAEP Executive Director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2D0DD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37433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D67B2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00716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See CAEP Bylaws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C9CAD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36FD7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3D7FA4A8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1D137" w14:textId="35EF15BC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 xml:space="preserve">CAEP </w:t>
            </w:r>
            <w:r>
              <w:rPr>
                <w:rFonts w:asciiTheme="majorHAnsi" w:hAnsiTheme="majorHAnsi"/>
                <w:sz w:val="18"/>
                <w:szCs w:val="18"/>
              </w:rPr>
              <w:t>Deputy Executive Director</w:t>
            </w:r>
            <w:r w:rsidR="00FD3DC4">
              <w:rPr>
                <w:rFonts w:asciiTheme="majorHAnsi" w:hAnsiTheme="majorHAnsi"/>
                <w:sz w:val="18"/>
                <w:szCs w:val="18"/>
              </w:rPr>
              <w:t>, Academic and CPD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41154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C85D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87392" w14:textId="74C101EE" w:rsidR="00A374FB" w:rsidRPr="005E3D98" w:rsidRDefault="00A374FB" w:rsidP="00FD3DC4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Provide administrative support to the Committee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69570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65730F80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FA1CB" w14:textId="350663AA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CAEP Lead, Academic, Research, Conference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EC61C" w14:textId="54B31AB6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Ex-officio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2E015" w14:textId="76149A58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B8383" w14:textId="0F722732" w:rsidR="00A374FB" w:rsidRDefault="00A374FB" w:rsidP="00FD3DC4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Provide administrative support to the Committee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F210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0FE890F2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C98FF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Total Voting Executive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651EA" w14:textId="6F3BEDF4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71B3" w14:textId="1B461293" w:rsidR="00A374FB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3A4E2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96F88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74FB" w:rsidRPr="005E3D98" w14:paraId="16C501E8" w14:textId="77777777" w:rsidTr="00FD3DC4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D53E7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 w:rsidRPr="005E3D98">
              <w:rPr>
                <w:rFonts w:asciiTheme="majorHAnsi" w:hAnsiTheme="majorHAnsi"/>
                <w:sz w:val="18"/>
                <w:szCs w:val="18"/>
              </w:rPr>
              <w:t>Quorum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8A367" w14:textId="69248CFE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18220" w14:textId="12E6D4D1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A126A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15209" w14:textId="77777777" w:rsidR="00A374FB" w:rsidRPr="005E3D98" w:rsidRDefault="00A374FB" w:rsidP="00A374FB">
            <w:pPr>
              <w:pStyle w:val="Table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BC3E092" w14:textId="77777777" w:rsidR="00CF0158" w:rsidRDefault="00CF0158" w:rsidP="00F308A8">
      <w:pPr>
        <w:spacing w:after="0"/>
        <w:rPr>
          <w:b/>
          <w:sz w:val="24"/>
          <w:szCs w:val="24"/>
        </w:rPr>
      </w:pPr>
    </w:p>
    <w:p w14:paraId="20050450" w14:textId="39123D3B" w:rsidR="00F308A8" w:rsidRPr="005E3D98" w:rsidRDefault="00F308A8" w:rsidP="00F308A8">
      <w:pPr>
        <w:spacing w:after="0"/>
        <w:rPr>
          <w:b/>
          <w:sz w:val="24"/>
          <w:szCs w:val="24"/>
        </w:rPr>
      </w:pPr>
      <w:r w:rsidRPr="005E3D98">
        <w:rPr>
          <w:b/>
          <w:sz w:val="24"/>
          <w:szCs w:val="24"/>
        </w:rPr>
        <w:lastRenderedPageBreak/>
        <w:t xml:space="preserve">Committee membership descriptions: </w:t>
      </w:r>
    </w:p>
    <w:p w14:paraId="7B833D90" w14:textId="77777777" w:rsidR="00F308A8" w:rsidRPr="005E3D98" w:rsidRDefault="00F308A8" w:rsidP="00F308A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7674"/>
      </w:tblGrid>
      <w:tr w:rsidR="00F308A8" w:rsidRPr="005E3D98" w14:paraId="17976619" w14:textId="77777777" w:rsidTr="000505DA">
        <w:tc>
          <w:tcPr>
            <w:tcW w:w="30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DDA89B" w14:textId="77777777" w:rsidR="00F308A8" w:rsidRPr="000505DA" w:rsidRDefault="00F308A8" w:rsidP="000505DA">
            <w:pPr>
              <w:pStyle w:val="TableHeader"/>
              <w:rPr>
                <w:rStyle w:val="BulletListChar"/>
                <w:rFonts w:ascii="Arial Black" w:hAnsi="Arial Black"/>
              </w:rPr>
            </w:pPr>
            <w:r w:rsidRPr="000505DA">
              <w:t xml:space="preserve">Committee member </w:t>
            </w:r>
          </w:p>
        </w:tc>
        <w:tc>
          <w:tcPr>
            <w:tcW w:w="767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69A46B4" w14:textId="77777777" w:rsidR="00F308A8" w:rsidRPr="005E3D98" w:rsidRDefault="00F308A8" w:rsidP="000505DA">
            <w:pPr>
              <w:pStyle w:val="TableHeader"/>
              <w:rPr>
                <w:rStyle w:val="BulletListChar"/>
                <w:rFonts w:ascii="Arial Black" w:hAnsi="Arial Black"/>
              </w:rPr>
            </w:pPr>
            <w:r w:rsidRPr="000505DA">
              <w:rPr>
                <w:rStyle w:val="BulletListChar"/>
                <w:rFonts w:ascii="Arial Black" w:hAnsi="Arial Black"/>
              </w:rPr>
              <w:t>Description</w:t>
            </w:r>
          </w:p>
        </w:tc>
      </w:tr>
      <w:tr w:rsidR="00F308A8" w:rsidRPr="005E3D98" w14:paraId="43A92768" w14:textId="77777777" w:rsidTr="00DE12BA">
        <w:tc>
          <w:tcPr>
            <w:tcW w:w="3094" w:type="dxa"/>
            <w:tcBorders>
              <w:left w:val="nil"/>
              <w:bottom w:val="single" w:sz="4" w:space="0" w:color="auto"/>
            </w:tcBorders>
            <w:vAlign w:val="center"/>
          </w:tcPr>
          <w:p w14:paraId="2634868E" w14:textId="77777777" w:rsidR="00F308A8" w:rsidRPr="005E3D98" w:rsidRDefault="00F308A8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sz w:val="18"/>
                <w:szCs w:val="18"/>
              </w:rPr>
            </w:pPr>
            <w:r w:rsidRPr="005E3D98">
              <w:rPr>
                <w:rStyle w:val="BulletListChar"/>
                <w:sz w:val="18"/>
                <w:szCs w:val="18"/>
              </w:rPr>
              <w:t>Executive members</w:t>
            </w:r>
          </w:p>
        </w:tc>
        <w:tc>
          <w:tcPr>
            <w:tcW w:w="7674" w:type="dxa"/>
            <w:tcBorders>
              <w:bottom w:val="single" w:sz="4" w:space="0" w:color="auto"/>
              <w:right w:val="nil"/>
            </w:tcBorders>
            <w:vAlign w:val="center"/>
          </w:tcPr>
          <w:p w14:paraId="481AB546" w14:textId="3AA6C280" w:rsidR="00F308A8" w:rsidRPr="004A35A7" w:rsidRDefault="004A35A7" w:rsidP="004A35A7">
            <w:pPr>
              <w:pStyle w:val="Listintable"/>
              <w:rPr>
                <w:rStyle w:val="BulletListChar"/>
              </w:rPr>
            </w:pPr>
            <w:r w:rsidRPr="004A35A7">
              <w:t>All committee members must be CAEP members</w:t>
            </w:r>
            <w:r>
              <w:t>.</w:t>
            </w:r>
          </w:p>
        </w:tc>
      </w:tr>
      <w:tr w:rsidR="00F308A8" w:rsidRPr="005E3D98" w14:paraId="1A86E5E9" w14:textId="77777777" w:rsidTr="00DE12BA"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59869D" w14:textId="77777777" w:rsidR="00F308A8" w:rsidRPr="005E3D98" w:rsidRDefault="00F308A8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sz w:val="18"/>
                <w:szCs w:val="18"/>
              </w:rPr>
            </w:pPr>
            <w:r w:rsidRPr="005E3D98">
              <w:rPr>
                <w:rStyle w:val="BulletListChar"/>
                <w:sz w:val="18"/>
                <w:szCs w:val="18"/>
              </w:rPr>
              <w:t>Ex-officio members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E19F7" w14:textId="77777777" w:rsidR="00F308A8" w:rsidRPr="005E3D98" w:rsidRDefault="00F308A8" w:rsidP="00C72AD2">
            <w:pPr>
              <w:pStyle w:val="Listintable"/>
              <w:rPr>
                <w:rStyle w:val="BulletListChar"/>
              </w:rPr>
            </w:pPr>
            <w:r w:rsidRPr="005E3D98">
              <w:t>Ex-officio members will be invited to all meetings a</w:t>
            </w:r>
            <w:r w:rsidR="00A74C68">
              <w:t xml:space="preserve">nd receive all meeting </w:t>
            </w:r>
            <w:r w:rsidR="000469AC">
              <w:t xml:space="preserve">agendas and </w:t>
            </w:r>
            <w:r w:rsidR="00A74C68">
              <w:t>minutes.</w:t>
            </w:r>
          </w:p>
        </w:tc>
      </w:tr>
      <w:tr w:rsidR="00F308A8" w:rsidRPr="005E3D98" w14:paraId="6147162F" w14:textId="77777777" w:rsidTr="00DE12BA"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2ED291" w14:textId="77777777" w:rsidR="00F308A8" w:rsidRPr="005E3D98" w:rsidRDefault="00F308A8" w:rsidP="005E3D98">
            <w:pPr>
              <w:pStyle w:val="BulletList"/>
              <w:numPr>
                <w:ilvl w:val="0"/>
                <w:numId w:val="0"/>
              </w:numPr>
              <w:spacing w:after="0"/>
              <w:rPr>
                <w:rStyle w:val="BulletListChar"/>
                <w:sz w:val="18"/>
                <w:szCs w:val="18"/>
              </w:rPr>
            </w:pPr>
            <w:r w:rsidRPr="005E3D98">
              <w:rPr>
                <w:rStyle w:val="BulletListChar"/>
                <w:sz w:val="18"/>
                <w:szCs w:val="18"/>
              </w:rPr>
              <w:t>Non-voting members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0E3FC" w14:textId="77777777" w:rsidR="00F308A8" w:rsidRPr="005E3D98" w:rsidRDefault="00F308A8" w:rsidP="0047288A">
            <w:pPr>
              <w:pStyle w:val="Listintable"/>
              <w:rPr>
                <w:rStyle w:val="BulletListChar"/>
              </w:rPr>
            </w:pPr>
            <w:r w:rsidRPr="005E3D98">
              <w:t>Non-voting members are invited t</w:t>
            </w:r>
            <w:r w:rsidR="0047288A">
              <w:t>o the annual</w:t>
            </w:r>
            <w:r w:rsidRPr="005E3D98">
              <w:t xml:space="preserve"> meetings</w:t>
            </w:r>
            <w:r w:rsidR="00A74C68">
              <w:t>.</w:t>
            </w:r>
          </w:p>
        </w:tc>
      </w:tr>
    </w:tbl>
    <w:p w14:paraId="7F2AE888" w14:textId="77777777" w:rsidR="00B462CE" w:rsidRPr="005E3D98" w:rsidRDefault="00B462CE" w:rsidP="00B047B6">
      <w:pPr>
        <w:pStyle w:val="BulletList"/>
        <w:numPr>
          <w:ilvl w:val="0"/>
          <w:numId w:val="0"/>
        </w:numPr>
        <w:rPr>
          <w:sz w:val="24"/>
          <w:szCs w:val="24"/>
        </w:rPr>
      </w:pPr>
    </w:p>
    <w:p w14:paraId="2C2792FB" w14:textId="77777777" w:rsidR="00803635" w:rsidRPr="00EA3F87" w:rsidRDefault="00803635" w:rsidP="00B047B6">
      <w:pPr>
        <w:pStyle w:val="Heading1"/>
      </w:pPr>
      <w:r w:rsidRPr="00EA3F87">
        <w:t>Governance:</w:t>
      </w:r>
    </w:p>
    <w:p w14:paraId="100CF110" w14:textId="37BD63CC" w:rsidR="00682B55" w:rsidRPr="00682B55" w:rsidRDefault="005062FD" w:rsidP="004D5B11">
      <w:r w:rsidRPr="00EA3F87">
        <w:t>This Committee reports to the CAEP Board of Directors</w:t>
      </w:r>
      <w:r w:rsidR="009764F6">
        <w:t xml:space="preserve">. </w:t>
      </w:r>
      <w:r w:rsidR="004D5B11">
        <w:t xml:space="preserve">All outputs of this committee, including intellectual property, are owned by CAEP. </w:t>
      </w:r>
    </w:p>
    <w:p w14:paraId="5B889CB2" w14:textId="54020727" w:rsidR="008B1556" w:rsidRDefault="008B1556" w:rsidP="00682B55">
      <w:pPr>
        <w:pStyle w:val="BulletList"/>
        <w:numPr>
          <w:ilvl w:val="0"/>
          <w:numId w:val="21"/>
        </w:numPr>
      </w:pPr>
      <w:r w:rsidRPr="005E3D98">
        <w:rPr>
          <w:u w:val="single"/>
        </w:rPr>
        <w:t>Nominations</w:t>
      </w:r>
      <w:r w:rsidRPr="005E3D98">
        <w:t xml:space="preserve"> </w:t>
      </w:r>
      <w:r w:rsidR="004D5B11">
        <w:t xml:space="preserve">for vacant positions </w:t>
      </w:r>
      <w:r w:rsidRPr="005E3D98">
        <w:t xml:space="preserve">will be </w:t>
      </w:r>
      <w:r w:rsidR="00F308A8" w:rsidRPr="005E3D98">
        <w:t>solicited by</w:t>
      </w:r>
      <w:r w:rsidR="00380F8D" w:rsidRPr="005E3D98">
        <w:t xml:space="preserve"> CAEP newsletter, email, social media, </w:t>
      </w:r>
      <w:r w:rsidR="007B54DD" w:rsidRPr="005E3D98">
        <w:t>and personal</w:t>
      </w:r>
      <w:r w:rsidR="00380F8D" w:rsidRPr="005E3D98">
        <w:t xml:space="preserve"> contacts</w:t>
      </w:r>
      <w:r w:rsidR="00F308A8" w:rsidRPr="005E3D98">
        <w:t>.</w:t>
      </w:r>
      <w:r w:rsidR="004D5B11">
        <w:t xml:space="preserve"> All nominees must be CAEP members in good standing. Chair positions must be approved by the CAEP Board.</w:t>
      </w:r>
    </w:p>
    <w:p w14:paraId="68B51CFA" w14:textId="276DD8DD" w:rsidR="00086BB7" w:rsidRDefault="00086BB7" w:rsidP="00682B55">
      <w:pPr>
        <w:pStyle w:val="BulletList"/>
        <w:numPr>
          <w:ilvl w:val="0"/>
          <w:numId w:val="21"/>
        </w:numPr>
      </w:pPr>
      <w:r>
        <w:t>If multiple nominees, bios will be posted on the Academic Section webpages 45 days prior to the Section Annual Meeting</w:t>
      </w:r>
    </w:p>
    <w:p w14:paraId="02261A7E" w14:textId="4701B9FB" w:rsidR="00086BB7" w:rsidRPr="005E3D98" w:rsidRDefault="00086BB7" w:rsidP="00682B55">
      <w:pPr>
        <w:pStyle w:val="BulletList"/>
        <w:numPr>
          <w:ilvl w:val="0"/>
          <w:numId w:val="21"/>
        </w:numPr>
      </w:pPr>
      <w:r>
        <w:t>Elections will be held in person at the Academic Section AGM, if required. Where there is a single nominee, the position shall be acclaimed.</w:t>
      </w:r>
    </w:p>
    <w:p w14:paraId="22F0529D" w14:textId="77777777" w:rsidR="00643D89" w:rsidRPr="005E3D98" w:rsidRDefault="00643D89" w:rsidP="00B047B6">
      <w:pPr>
        <w:pStyle w:val="BulletList"/>
      </w:pPr>
      <w:r w:rsidRPr="005E3D98">
        <w:rPr>
          <w:u w:val="single"/>
        </w:rPr>
        <w:t>Quorum</w:t>
      </w:r>
      <w:r w:rsidRPr="005E3D98">
        <w:t xml:space="preserve"> for elections and other decisions is </w:t>
      </w:r>
      <w:r w:rsidR="00BC08D9">
        <w:t>50% + 1</w:t>
      </w:r>
      <w:r w:rsidR="003C237A">
        <w:t xml:space="preserve"> voting member</w:t>
      </w:r>
      <w:r w:rsidRPr="005E3D98">
        <w:t xml:space="preserve">. </w:t>
      </w:r>
    </w:p>
    <w:p w14:paraId="789E0914" w14:textId="77777777" w:rsidR="007B54DD" w:rsidRPr="006C38B9" w:rsidRDefault="00643D89" w:rsidP="006C38B9">
      <w:pPr>
        <w:pStyle w:val="BulletList"/>
        <w:rPr>
          <w:u w:val="single"/>
        </w:rPr>
      </w:pPr>
      <w:r w:rsidRPr="005E3D98">
        <w:t xml:space="preserve">For other decisions, consensus will be sought. If consensus cannot be reached, then decisions can be made </w:t>
      </w:r>
      <w:r w:rsidR="000469AC">
        <w:t xml:space="preserve">by </w:t>
      </w:r>
      <w:r w:rsidRPr="005E3D98">
        <w:t>vote (electronically or in person).</w:t>
      </w:r>
    </w:p>
    <w:p w14:paraId="61CF3F5F" w14:textId="77777777" w:rsidR="002E1A5B" w:rsidRPr="005E3D98" w:rsidRDefault="002E1A5B" w:rsidP="00B047B6">
      <w:pPr>
        <w:pStyle w:val="Heading1"/>
      </w:pPr>
      <w:r w:rsidRPr="005E3D98">
        <w:t>Terms of reference</w:t>
      </w:r>
      <w:r w:rsidR="00F308A8" w:rsidRPr="005E3D98">
        <w:t xml:space="preserve"> and</w:t>
      </w:r>
      <w:r w:rsidR="00B8629C" w:rsidRPr="005E3D98">
        <w:t xml:space="preserve"> reviews:</w:t>
      </w:r>
    </w:p>
    <w:p w14:paraId="66BF0A22" w14:textId="77777777" w:rsidR="00B84F08" w:rsidRDefault="000C7484" w:rsidP="00BC31FE">
      <w:pPr>
        <w:pStyle w:val="BulletList"/>
      </w:pPr>
      <w:r w:rsidRPr="005E3D98">
        <w:t>Terms</w:t>
      </w:r>
      <w:r w:rsidR="00B84F08" w:rsidRPr="005E3D98">
        <w:t xml:space="preserve"> of reference </w:t>
      </w:r>
      <w:r w:rsidR="00BC31FE">
        <w:t xml:space="preserve">will </w:t>
      </w:r>
      <w:r w:rsidRPr="005E3D98">
        <w:t>be r</w:t>
      </w:r>
      <w:r w:rsidR="00B8629C" w:rsidRPr="005E3D98">
        <w:t xml:space="preserve">eviewed </w:t>
      </w:r>
      <w:r w:rsidR="00BC31FE">
        <w:t>and submitted for approval by the Board at least every 5</w:t>
      </w:r>
      <w:r w:rsidRPr="005E3D98">
        <w:t xml:space="preserve"> years. </w:t>
      </w:r>
    </w:p>
    <w:p w14:paraId="49F4A666" w14:textId="77777777" w:rsidR="002E1A5B" w:rsidRPr="005E3D98" w:rsidRDefault="00B84F08" w:rsidP="00B047B6">
      <w:pPr>
        <w:pStyle w:val="BulletList"/>
      </w:pPr>
      <w:r w:rsidRPr="005E3D98">
        <w:t>Revised terms of reference should be submitted to Board</w:t>
      </w:r>
      <w:r w:rsidR="00695F10" w:rsidRPr="005E3D98">
        <w:t xml:space="preserve"> via the CAEP office</w:t>
      </w:r>
      <w:r w:rsidRPr="005E3D98">
        <w:t>.</w:t>
      </w:r>
    </w:p>
    <w:p w14:paraId="49A06E0C" w14:textId="77777777" w:rsidR="00F308A8" w:rsidRPr="005E3D98" w:rsidRDefault="00A53185" w:rsidP="00B047B6">
      <w:pPr>
        <w:pStyle w:val="BulletList"/>
      </w:pPr>
      <w:r w:rsidRPr="005E3D98">
        <w:t>Reviews</w:t>
      </w:r>
      <w:r w:rsidR="00F308A8" w:rsidRPr="005E3D98">
        <w:t xml:space="preserve"> of the objectives and committee productivity/progress </w:t>
      </w:r>
      <w:r w:rsidRPr="005E3D98">
        <w:t>may</w:t>
      </w:r>
      <w:r w:rsidR="00F308A8" w:rsidRPr="005E3D98">
        <w:t xml:space="preserve"> b</w:t>
      </w:r>
      <w:r w:rsidRPr="005E3D98">
        <w:t>e completed by the</w:t>
      </w:r>
      <w:r w:rsidR="00F308A8" w:rsidRPr="005E3D98">
        <w:t xml:space="preserve"> </w:t>
      </w:r>
      <w:r w:rsidRPr="005E3D98">
        <w:t>Board through the CAEP office to ensure adherence to CAEP’s mission and vision.</w:t>
      </w:r>
    </w:p>
    <w:p w14:paraId="68B51097" w14:textId="77777777" w:rsidR="00B84F08" w:rsidRPr="005E3D98" w:rsidRDefault="000C7484" w:rsidP="00B047B6">
      <w:pPr>
        <w:pStyle w:val="Heading1"/>
      </w:pPr>
      <w:r w:rsidRPr="005E3D98">
        <w:t>Committee</w:t>
      </w:r>
      <w:r w:rsidR="0067414E" w:rsidRPr="005E3D98">
        <w:t xml:space="preserve"> </w:t>
      </w:r>
      <w:r w:rsidR="006B5C88" w:rsidRPr="005E3D98">
        <w:t>meetings</w:t>
      </w:r>
      <w:r w:rsidRPr="005E3D98">
        <w:t>:</w:t>
      </w:r>
    </w:p>
    <w:p w14:paraId="054A6ED0" w14:textId="77777777" w:rsidR="00107A70" w:rsidRPr="000469AC" w:rsidRDefault="00107A70" w:rsidP="00517115">
      <w:pPr>
        <w:pStyle w:val="NoSpacing"/>
      </w:pPr>
      <w:r w:rsidRPr="000469AC">
        <w:t>Quorum</w:t>
      </w:r>
    </w:p>
    <w:p w14:paraId="52FFDE8D" w14:textId="77777777" w:rsidR="00DA632B" w:rsidRDefault="00A74C68" w:rsidP="00B05090">
      <w:pPr>
        <w:pStyle w:val="BulletList"/>
      </w:pPr>
      <w:r w:rsidRPr="000469AC">
        <w:t xml:space="preserve">Meeting and vote quorum is </w:t>
      </w:r>
      <w:r w:rsidR="00BC08D9">
        <w:t>50% + 1</w:t>
      </w:r>
      <w:r w:rsidR="00107A70" w:rsidRPr="000469AC">
        <w:t xml:space="preserve"> voting executive members (refer to the </w:t>
      </w:r>
      <w:r w:rsidR="00084363" w:rsidRPr="000469AC">
        <w:rPr>
          <w:b/>
        </w:rPr>
        <w:t>Committee Roles table</w:t>
      </w:r>
      <w:r w:rsidR="00107A70" w:rsidRPr="000469AC">
        <w:t>).</w:t>
      </w:r>
    </w:p>
    <w:p w14:paraId="1389E201" w14:textId="15E46E0C" w:rsidR="006B5C88" w:rsidRPr="00DA632B" w:rsidRDefault="00DA632B" w:rsidP="00DA632B">
      <w:pPr>
        <w:pStyle w:val="BulletList"/>
        <w:numPr>
          <w:ilvl w:val="0"/>
          <w:numId w:val="0"/>
        </w:numPr>
        <w:ind w:left="720"/>
        <w:rPr>
          <w:b/>
          <w:bCs/>
        </w:rPr>
      </w:pPr>
      <w:r>
        <w:rPr>
          <w:b/>
          <w:bCs/>
        </w:rPr>
        <w:t>Videoconference</w:t>
      </w:r>
      <w:r w:rsidR="00EF0466" w:rsidRPr="00DA632B">
        <w:rPr>
          <w:b/>
          <w:bCs/>
        </w:rPr>
        <w:t xml:space="preserve"> </w:t>
      </w:r>
      <w:r w:rsidR="006B5C88" w:rsidRPr="00DA632B">
        <w:rPr>
          <w:b/>
          <w:bCs/>
        </w:rPr>
        <w:t>Meetings</w:t>
      </w:r>
    </w:p>
    <w:p w14:paraId="2BAFFBEF" w14:textId="7F2035CC" w:rsidR="00EF0466" w:rsidRPr="000469AC" w:rsidRDefault="00DA632B" w:rsidP="005E3D98">
      <w:pPr>
        <w:pStyle w:val="BulletList"/>
        <w:rPr>
          <w:b/>
        </w:rPr>
      </w:pPr>
      <w:r>
        <w:t>Videoconferences</w:t>
      </w:r>
      <w:r w:rsidR="00EF0466" w:rsidRPr="000469AC">
        <w:t xml:space="preserve"> will be held at least quarterly at the call of the committee chair (or vice-chair).   </w:t>
      </w:r>
    </w:p>
    <w:p w14:paraId="1960C2D0" w14:textId="77777777" w:rsidR="006B5C88" w:rsidRPr="000469AC" w:rsidRDefault="006B5C88" w:rsidP="005E3D98">
      <w:pPr>
        <w:pStyle w:val="BulletList"/>
        <w:rPr>
          <w:b/>
        </w:rPr>
      </w:pPr>
      <w:r w:rsidRPr="000469AC">
        <w:t xml:space="preserve">The chair (or vice-chair) is required for any meeting. </w:t>
      </w:r>
    </w:p>
    <w:p w14:paraId="301E67E0" w14:textId="77777777" w:rsidR="0010339F" w:rsidRPr="000469AC" w:rsidRDefault="0010339F" w:rsidP="005E3D98">
      <w:pPr>
        <w:pStyle w:val="BulletList"/>
        <w:rPr>
          <w:b/>
        </w:rPr>
      </w:pPr>
      <w:r w:rsidRPr="000469AC">
        <w:t>A</w:t>
      </w:r>
      <w:r w:rsidR="0047288A">
        <w:t xml:space="preserve">ll </w:t>
      </w:r>
      <w:r w:rsidR="004A35A7">
        <w:t xml:space="preserve">executive and ex-officio </w:t>
      </w:r>
      <w:r w:rsidR="0047288A">
        <w:t xml:space="preserve">committee members </w:t>
      </w:r>
      <w:r w:rsidRPr="000469AC">
        <w:t xml:space="preserve">will be invited to attend. </w:t>
      </w:r>
    </w:p>
    <w:p w14:paraId="1983CCB3" w14:textId="72737225" w:rsidR="00EF0466" w:rsidRPr="000469AC" w:rsidRDefault="00EF0466" w:rsidP="005E3D98">
      <w:pPr>
        <w:pStyle w:val="BulletList"/>
        <w:rPr>
          <w:b/>
        </w:rPr>
      </w:pPr>
      <w:r w:rsidRPr="000469AC">
        <w:t xml:space="preserve">Meeting agendas and minutes/action items should be prepared for all </w:t>
      </w:r>
      <w:r w:rsidR="00DA632B">
        <w:t>videoconferences</w:t>
      </w:r>
      <w:r w:rsidRPr="000469AC">
        <w:t>.</w:t>
      </w:r>
    </w:p>
    <w:p w14:paraId="7050BE13" w14:textId="6284C7E3" w:rsidR="006B5C88" w:rsidRPr="000469AC" w:rsidRDefault="006B5C88" w:rsidP="005E3D98">
      <w:pPr>
        <w:pStyle w:val="BulletList"/>
        <w:rPr>
          <w:b/>
        </w:rPr>
      </w:pPr>
      <w:r w:rsidRPr="000469AC">
        <w:t>Meeting agendas will be prepared by the chair or vice-chair</w:t>
      </w:r>
      <w:r w:rsidR="000469AC">
        <w:t xml:space="preserve"> with assistance of the </w:t>
      </w:r>
      <w:r w:rsidR="004D5B11">
        <w:t>CAEP Staff</w:t>
      </w:r>
      <w:r w:rsidR="00EF0466" w:rsidRPr="000469AC">
        <w:t>.</w:t>
      </w:r>
    </w:p>
    <w:p w14:paraId="6498D0F1" w14:textId="1328FFA4" w:rsidR="0008425D" w:rsidRDefault="0008425D" w:rsidP="005E3D98">
      <w:pPr>
        <w:pStyle w:val="BulletList"/>
      </w:pPr>
      <w:r w:rsidRPr="002C01BB">
        <w:t>Meeting minutes will be distributed to the entire committee</w:t>
      </w:r>
      <w:r w:rsidR="00DA632B">
        <w:t>.</w:t>
      </w:r>
      <w:r w:rsidRPr="002C01BB">
        <w:t xml:space="preserve"> </w:t>
      </w:r>
    </w:p>
    <w:p w14:paraId="55949912" w14:textId="77777777" w:rsidR="002C01BB" w:rsidRPr="002C01BB" w:rsidRDefault="002C01BB" w:rsidP="005E3D98">
      <w:pPr>
        <w:pStyle w:val="BulletList"/>
      </w:pPr>
      <w:r>
        <w:t>Meeting minutes may be requested by the Board or CAEP members.</w:t>
      </w:r>
    </w:p>
    <w:p w14:paraId="40C13A7B" w14:textId="77777777" w:rsidR="006B5C88" w:rsidRPr="000469AC" w:rsidRDefault="006B5C88" w:rsidP="00517115">
      <w:pPr>
        <w:pStyle w:val="NoSpacing"/>
      </w:pPr>
    </w:p>
    <w:p w14:paraId="4FED4C96" w14:textId="77777777" w:rsidR="00107A70" w:rsidRPr="00F5666C" w:rsidRDefault="00107A70" w:rsidP="00B047B6">
      <w:pPr>
        <w:pStyle w:val="Heading1"/>
      </w:pPr>
      <w:r w:rsidRPr="00D90C88">
        <w:lastRenderedPageBreak/>
        <w:t>CAEP accountability</w:t>
      </w:r>
    </w:p>
    <w:p w14:paraId="5D9FF068" w14:textId="6CFF508B" w:rsidR="00107A70" w:rsidRPr="002C01BB" w:rsidRDefault="00107A70" w:rsidP="004031E9">
      <w:pPr>
        <w:pStyle w:val="BulletList"/>
      </w:pPr>
      <w:r w:rsidRPr="002C01BB">
        <w:t xml:space="preserve">The committee </w:t>
      </w:r>
      <w:r w:rsidR="00DA632B">
        <w:t>may</w:t>
      </w:r>
      <w:r w:rsidRPr="002C01BB">
        <w:t xml:space="preserve"> receive feedback from the CAEP Board, in response t</w:t>
      </w:r>
      <w:r w:rsidR="004031E9" w:rsidRPr="002C01BB">
        <w:t xml:space="preserve">o the committee’s annual report, including any specific requests to </w:t>
      </w:r>
      <w:r w:rsidRPr="002C01BB">
        <w:t>the CAEP Board.</w:t>
      </w:r>
    </w:p>
    <w:p w14:paraId="5BD69E6C" w14:textId="77777777" w:rsidR="00107A70" w:rsidRPr="002C01BB" w:rsidRDefault="00107A70" w:rsidP="005E3D98">
      <w:pPr>
        <w:pStyle w:val="BulletList"/>
      </w:pPr>
      <w:r w:rsidRPr="002C01BB">
        <w:t xml:space="preserve">CAEP will provide amalgamated reports on CAEP committees contributing to the </w:t>
      </w:r>
      <w:r w:rsidR="004A35A7">
        <w:t>CAEP</w:t>
      </w:r>
      <w:r w:rsidRPr="002C01BB">
        <w:t xml:space="preserve"> pillars. </w:t>
      </w:r>
    </w:p>
    <w:p w14:paraId="53886A80" w14:textId="77777777" w:rsidR="00107A70" w:rsidRPr="002C01BB" w:rsidRDefault="00107A70" w:rsidP="005E3D98">
      <w:pPr>
        <w:pStyle w:val="BulletList"/>
      </w:pPr>
      <w:r w:rsidRPr="002C01BB">
        <w:rPr>
          <w:u w:val="single"/>
        </w:rPr>
        <w:t>Meeting space</w:t>
      </w:r>
      <w:r w:rsidRPr="002C01BB">
        <w:t xml:space="preserve"> will be available at the annual conference and arranged by CAEP. </w:t>
      </w:r>
    </w:p>
    <w:p w14:paraId="336AA577" w14:textId="4B1ACCD5" w:rsidR="00107A70" w:rsidRPr="002C01BB" w:rsidRDefault="00DA632B" w:rsidP="005E3D98">
      <w:pPr>
        <w:pStyle w:val="BulletList"/>
      </w:pPr>
      <w:r>
        <w:t>CAEP will support meetings with a videoconferencing platform.</w:t>
      </w:r>
    </w:p>
    <w:p w14:paraId="1D5A8E77" w14:textId="77777777" w:rsidR="007F175B" w:rsidRPr="002C01BB" w:rsidRDefault="00107A70" w:rsidP="005E3D98">
      <w:pPr>
        <w:pStyle w:val="BulletList"/>
      </w:pPr>
      <w:r w:rsidRPr="002C01BB">
        <w:t xml:space="preserve">A CAEP staff </w:t>
      </w:r>
      <w:r w:rsidR="003C237A">
        <w:t xml:space="preserve">member </w:t>
      </w:r>
      <w:r w:rsidRPr="002C01BB">
        <w:t>will be available for updating the website with materials provided by the committee</w:t>
      </w:r>
      <w:r w:rsidR="004031E9" w:rsidRPr="002C01BB">
        <w:t>.</w:t>
      </w:r>
      <w:r w:rsidRPr="002C01BB">
        <w:t xml:space="preserve"> </w:t>
      </w:r>
    </w:p>
    <w:sectPr w:rsidR="007F175B" w:rsidRPr="002C01BB" w:rsidSect="00C17C0B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F2A9" w14:textId="77777777" w:rsidR="009A1607" w:rsidRDefault="009A1607" w:rsidP="006F1D93">
      <w:r>
        <w:separator/>
      </w:r>
    </w:p>
  </w:endnote>
  <w:endnote w:type="continuationSeparator" w:id="0">
    <w:p w14:paraId="3D611FF4" w14:textId="77777777" w:rsidR="009A1607" w:rsidRDefault="009A1607" w:rsidP="006F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6DDB" w14:textId="77777777" w:rsidR="009A1607" w:rsidRDefault="009A1607" w:rsidP="006F1D93">
    <w:pPr>
      <w:pStyle w:val="Footer"/>
    </w:pPr>
  </w:p>
  <w:p w14:paraId="65134931" w14:textId="77777777" w:rsidR="009A1607" w:rsidRDefault="009A1607" w:rsidP="006F1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229A" w14:textId="77777777" w:rsidR="009A1607" w:rsidRDefault="009A1607" w:rsidP="006F1D93">
      <w:r>
        <w:separator/>
      </w:r>
    </w:p>
  </w:footnote>
  <w:footnote w:type="continuationSeparator" w:id="0">
    <w:p w14:paraId="75C8CC4C" w14:textId="77777777" w:rsidR="009A1607" w:rsidRDefault="009A1607" w:rsidP="006F1D93">
      <w:r>
        <w:continuationSeparator/>
      </w:r>
    </w:p>
  </w:footnote>
  <w:footnote w:id="1">
    <w:p w14:paraId="19CB46ED" w14:textId="389E3F0C" w:rsidR="00CF4AC8" w:rsidRPr="00CF4AC8" w:rsidRDefault="00CF4A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each </w:t>
      </w:r>
      <w:proofErr w:type="gramStart"/>
      <w:r>
        <w:rPr>
          <w:lang w:val="en-US"/>
        </w:rPr>
        <w:t>committees</w:t>
      </w:r>
      <w:proofErr w:type="gramEnd"/>
      <w:r>
        <w:rPr>
          <w:lang w:val="en-US"/>
        </w:rPr>
        <w:t xml:space="preserve"> activities, please refer to its terms of reference.</w:t>
      </w:r>
    </w:p>
  </w:footnote>
  <w:footnote w:id="2">
    <w:p w14:paraId="0794F159" w14:textId="21D63057" w:rsidR="00FC25AB" w:rsidRPr="00FC25AB" w:rsidRDefault="00FC25A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For </w:t>
      </w:r>
      <w:r w:rsidR="00CF4AC8">
        <w:rPr>
          <w:lang w:val="en-US"/>
        </w:rPr>
        <w:t xml:space="preserve">each </w:t>
      </w:r>
      <w:proofErr w:type="gramStart"/>
      <w:r w:rsidR="00CF4AC8">
        <w:rPr>
          <w:lang w:val="en-US"/>
        </w:rPr>
        <w:t>committees</w:t>
      </w:r>
      <w:proofErr w:type="gramEnd"/>
      <w:r w:rsidR="00CF4AC8">
        <w:rPr>
          <w:lang w:val="en-US"/>
        </w:rPr>
        <w:t xml:space="preserve"> roles, please refer to its terms of reference.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068175"/>
      <w:docPartObj>
        <w:docPartGallery w:val="Page Numbers (Top of Page)"/>
        <w:docPartUnique/>
      </w:docPartObj>
    </w:sdtPr>
    <w:sdtEndPr/>
    <w:sdtContent>
      <w:p w14:paraId="5A1260E9" w14:textId="77777777" w:rsidR="009A1607" w:rsidRPr="00503D45" w:rsidRDefault="009A1607" w:rsidP="006F1D93">
        <w:pPr>
          <w:pStyle w:val="Header"/>
        </w:pPr>
        <w:r w:rsidRPr="00503D45">
          <w:t xml:space="preserve">Page </w:t>
        </w:r>
        <w:r w:rsidR="005062FD">
          <w:fldChar w:fldCharType="begin"/>
        </w:r>
        <w:r w:rsidR="005062FD">
          <w:instrText xml:space="preserve"> PAGE </w:instrText>
        </w:r>
        <w:r w:rsidR="005062FD">
          <w:fldChar w:fldCharType="separate"/>
        </w:r>
        <w:r w:rsidR="00780BC8">
          <w:rPr>
            <w:noProof/>
          </w:rPr>
          <w:t>3</w:t>
        </w:r>
        <w:r w:rsidR="005062FD">
          <w:rPr>
            <w:noProof/>
          </w:rPr>
          <w:fldChar w:fldCharType="end"/>
        </w:r>
        <w:r w:rsidRPr="00503D45">
          <w:t xml:space="preserve"> of </w:t>
        </w:r>
        <w:fldSimple w:instr=" NUMPAGES  ">
          <w:r w:rsidR="00780BC8">
            <w:rPr>
              <w:noProof/>
            </w:rPr>
            <w:t>3</w:t>
          </w:r>
        </w:fldSimple>
      </w:p>
    </w:sdtContent>
  </w:sdt>
  <w:p w14:paraId="0E1CBEC9" w14:textId="77777777" w:rsidR="009A1607" w:rsidRDefault="009A1607" w:rsidP="006F1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07F7" w14:textId="77777777" w:rsidR="009A1607" w:rsidRPr="006F1D93" w:rsidRDefault="009A1607" w:rsidP="006F1D93">
    <w:pPr>
      <w:pStyle w:val="Header"/>
      <w:rPr>
        <w:rStyle w:val="Emphasis"/>
      </w:rPr>
    </w:pPr>
    <w:r w:rsidRPr="006F1D93">
      <w:rPr>
        <w:rStyle w:val="Emphasis"/>
      </w:rPr>
      <w:t xml:space="preserve">CAEP Vision: </w:t>
    </w:r>
    <w:r w:rsidRPr="00024E34">
      <w:rPr>
        <w:rFonts w:ascii="Arial Narrow" w:hAnsi="Arial Narrow"/>
        <w:sz w:val="16"/>
        <w:szCs w:val="16"/>
      </w:rPr>
      <w:t>Leading excellence in Emergency Medicine across Canada</w:t>
    </w:r>
    <w:r w:rsidRPr="006F1D93">
      <w:rPr>
        <w:rStyle w:val="Emphasis"/>
      </w:rPr>
      <w:t xml:space="preserve">  </w:t>
    </w:r>
    <w:r w:rsidRPr="006F1D93">
      <w:rPr>
        <w:rStyle w:val="Emphasis"/>
        <w:noProof/>
        <w:lang w:val="en-US"/>
      </w:rPr>
      <w:drawing>
        <wp:anchor distT="0" distB="0" distL="114300" distR="114300" simplePos="0" relativeHeight="251658240" behindDoc="1" locked="0" layoutInCell="1" allowOverlap="1" wp14:anchorId="2F39BAAF" wp14:editId="54BB9A53">
          <wp:simplePos x="0" y="0"/>
          <wp:positionH relativeFrom="column">
            <wp:align>right</wp:align>
          </wp:positionH>
          <wp:positionV relativeFrom="paragraph">
            <wp:posOffset>1270</wp:posOffset>
          </wp:positionV>
          <wp:extent cx="1399032" cy="429768"/>
          <wp:effectExtent l="0" t="0" r="0" b="8890"/>
          <wp:wrapTight wrapText="bothSides">
            <wp:wrapPolygon edited="0">
              <wp:start x="1471" y="0"/>
              <wp:lineTo x="0" y="2876"/>
              <wp:lineTo x="0" y="15337"/>
              <wp:lineTo x="882" y="21089"/>
              <wp:lineTo x="1471" y="21089"/>
              <wp:lineTo x="5295" y="21089"/>
              <wp:lineTo x="5589" y="21089"/>
              <wp:lineTo x="7059" y="15337"/>
              <wp:lineTo x="21178" y="15337"/>
              <wp:lineTo x="21178" y="6710"/>
              <wp:lineTo x="4706" y="0"/>
              <wp:lineTo x="147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EP_2015Logo_RGB_Hor_BI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234E91" w14:textId="77777777" w:rsidR="009A1607" w:rsidRPr="006F1D93" w:rsidRDefault="009A1607" w:rsidP="006F1D93">
    <w:pPr>
      <w:pStyle w:val="Header"/>
      <w:rPr>
        <w:rStyle w:val="Emphasis"/>
      </w:rPr>
    </w:pPr>
  </w:p>
  <w:p w14:paraId="5D8A0796" w14:textId="77777777" w:rsidR="009A1607" w:rsidRPr="00024E34" w:rsidRDefault="009A1607" w:rsidP="00024E34">
    <w:pPr>
      <w:rPr>
        <w:rFonts w:ascii="Arial Narrow" w:hAnsi="Arial Narrow"/>
        <w:sz w:val="16"/>
        <w:szCs w:val="16"/>
      </w:rPr>
    </w:pPr>
    <w:r w:rsidRPr="006F1D93">
      <w:rPr>
        <w:rStyle w:val="Emphasis"/>
      </w:rPr>
      <w:t xml:space="preserve">CAEP Mission: </w:t>
    </w:r>
    <w:r w:rsidRPr="00024E34">
      <w:rPr>
        <w:rFonts w:ascii="Arial Narrow" w:hAnsi="Arial Narrow"/>
        <w:sz w:val="16"/>
        <w:szCs w:val="16"/>
      </w:rPr>
      <w:t>CAEP champions excellence in Emergency Medicine in Canada by:</w:t>
    </w:r>
  </w:p>
  <w:p w14:paraId="6398A3D2" w14:textId="77777777" w:rsidR="004D5B11" w:rsidRPr="004D5B11" w:rsidRDefault="004D5B11" w:rsidP="004D5B11">
    <w:pPr>
      <w:pStyle w:val="Header"/>
      <w:numPr>
        <w:ilvl w:val="0"/>
        <w:numId w:val="25"/>
      </w:numPr>
      <w:rPr>
        <w:rStyle w:val="Emphasis"/>
      </w:rPr>
    </w:pPr>
    <w:r w:rsidRPr="004D5B11">
      <w:rPr>
        <w:rStyle w:val="Emphasis"/>
      </w:rPr>
      <w:t xml:space="preserve">Advocating for emergency physicians and their </w:t>
    </w:r>
    <w:proofErr w:type="gramStart"/>
    <w:r w:rsidRPr="004D5B11">
      <w:rPr>
        <w:rStyle w:val="Emphasis"/>
      </w:rPr>
      <w:t>patients;</w:t>
    </w:r>
    <w:proofErr w:type="gramEnd"/>
  </w:p>
  <w:p w14:paraId="71D18DEC" w14:textId="77777777" w:rsidR="004D5B11" w:rsidRPr="004D5B11" w:rsidRDefault="004D5B11" w:rsidP="004D5B11">
    <w:pPr>
      <w:pStyle w:val="Header"/>
      <w:numPr>
        <w:ilvl w:val="0"/>
        <w:numId w:val="25"/>
      </w:numPr>
      <w:rPr>
        <w:rStyle w:val="Emphasis"/>
      </w:rPr>
    </w:pPr>
    <w:r w:rsidRPr="004D5B11">
      <w:rPr>
        <w:rStyle w:val="Emphasis"/>
      </w:rPr>
      <w:t xml:space="preserve">Connecting emergency </w:t>
    </w:r>
    <w:proofErr w:type="gramStart"/>
    <w:r w:rsidRPr="004D5B11">
      <w:rPr>
        <w:rStyle w:val="Emphasis"/>
      </w:rPr>
      <w:t>physicians;</w:t>
    </w:r>
    <w:proofErr w:type="gramEnd"/>
  </w:p>
  <w:p w14:paraId="0F3E8063" w14:textId="77777777" w:rsidR="004D5B11" w:rsidRPr="004D5B11" w:rsidRDefault="004D5B11" w:rsidP="004D5B11">
    <w:pPr>
      <w:pStyle w:val="Header"/>
      <w:numPr>
        <w:ilvl w:val="0"/>
        <w:numId w:val="25"/>
      </w:numPr>
      <w:rPr>
        <w:rStyle w:val="Emphasis"/>
      </w:rPr>
    </w:pPr>
    <w:r w:rsidRPr="004D5B11">
      <w:rPr>
        <w:rStyle w:val="Emphasis"/>
      </w:rPr>
      <w:t xml:space="preserve">Leading emergency medicine </w:t>
    </w:r>
    <w:proofErr w:type="gramStart"/>
    <w:r w:rsidRPr="004D5B11">
      <w:rPr>
        <w:rStyle w:val="Emphasis"/>
      </w:rPr>
      <w:t>education;</w:t>
    </w:r>
    <w:proofErr w:type="gramEnd"/>
  </w:p>
  <w:p w14:paraId="6BD00DEF" w14:textId="77777777" w:rsidR="004D5B11" w:rsidRPr="004D5B11" w:rsidRDefault="004D5B11" w:rsidP="004D5B11">
    <w:pPr>
      <w:pStyle w:val="Header"/>
      <w:numPr>
        <w:ilvl w:val="0"/>
        <w:numId w:val="25"/>
      </w:numPr>
      <w:rPr>
        <w:rStyle w:val="Emphasis"/>
      </w:rPr>
    </w:pPr>
    <w:r w:rsidRPr="004D5B11">
      <w:rPr>
        <w:rStyle w:val="Emphasis"/>
      </w:rPr>
      <w:t xml:space="preserve">Fostering research and </w:t>
    </w:r>
    <w:proofErr w:type="gramStart"/>
    <w:r w:rsidRPr="004D5B11">
      <w:rPr>
        <w:rStyle w:val="Emphasis"/>
      </w:rPr>
      <w:t>innovation;</w:t>
    </w:r>
    <w:proofErr w:type="gramEnd"/>
  </w:p>
  <w:p w14:paraId="27B37DF7" w14:textId="77777777" w:rsidR="004D5B11" w:rsidRPr="004D5B11" w:rsidRDefault="004D5B11" w:rsidP="004D5B11">
    <w:pPr>
      <w:pStyle w:val="Header"/>
      <w:numPr>
        <w:ilvl w:val="0"/>
        <w:numId w:val="25"/>
      </w:numPr>
      <w:rPr>
        <w:rStyle w:val="Emphasis"/>
      </w:rPr>
    </w:pPr>
    <w:r w:rsidRPr="004D5B11">
      <w:rPr>
        <w:rStyle w:val="Emphasis"/>
      </w:rPr>
      <w:t>Defining standards for quality emergency care; and</w:t>
    </w:r>
  </w:p>
  <w:p w14:paraId="2BF43530" w14:textId="77777777" w:rsidR="004D5B11" w:rsidRPr="004D5B11" w:rsidRDefault="004D5B11" w:rsidP="004D5B11">
    <w:pPr>
      <w:pStyle w:val="Header"/>
      <w:numPr>
        <w:ilvl w:val="0"/>
        <w:numId w:val="25"/>
      </w:numPr>
      <w:rPr>
        <w:rStyle w:val="Emphasis"/>
      </w:rPr>
    </w:pPr>
    <w:r w:rsidRPr="004D5B11">
      <w:rPr>
        <w:rStyle w:val="Emphasis"/>
      </w:rPr>
      <w:t>Collaborating with emergency care providers.</w:t>
    </w:r>
  </w:p>
  <w:p w14:paraId="59468BB0" w14:textId="77777777" w:rsidR="009A1607" w:rsidRPr="002E1A5B" w:rsidRDefault="00FD3DC4" w:rsidP="006F1D93">
    <w:pPr>
      <w:pStyle w:val="Header"/>
    </w:pPr>
    <w:r>
      <w:pict w14:anchorId="3C1C385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7D"/>
    <w:multiLevelType w:val="hybridMultilevel"/>
    <w:tmpl w:val="EB162C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27B6"/>
    <w:multiLevelType w:val="hybridMultilevel"/>
    <w:tmpl w:val="98BE2274"/>
    <w:lvl w:ilvl="0" w:tplc="5C081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747"/>
    <w:multiLevelType w:val="multilevel"/>
    <w:tmpl w:val="DC703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C966D6"/>
    <w:multiLevelType w:val="hybridMultilevel"/>
    <w:tmpl w:val="BA303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5815"/>
    <w:multiLevelType w:val="hybridMultilevel"/>
    <w:tmpl w:val="F1469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313"/>
    <w:multiLevelType w:val="hybridMultilevel"/>
    <w:tmpl w:val="A198C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5F6D"/>
    <w:multiLevelType w:val="multilevel"/>
    <w:tmpl w:val="84227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F5B63"/>
    <w:multiLevelType w:val="multilevel"/>
    <w:tmpl w:val="F4CE37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483276"/>
    <w:multiLevelType w:val="hybridMultilevel"/>
    <w:tmpl w:val="07247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E42E8"/>
    <w:multiLevelType w:val="hybridMultilevel"/>
    <w:tmpl w:val="4CFE12BC"/>
    <w:lvl w:ilvl="0" w:tplc="2EA2503E">
      <w:start w:val="1"/>
      <w:numFmt w:val="bullet"/>
      <w:pStyle w:val="List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A3491"/>
    <w:multiLevelType w:val="multilevel"/>
    <w:tmpl w:val="BDF86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0145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2E0C4B"/>
    <w:multiLevelType w:val="multilevel"/>
    <w:tmpl w:val="75162BB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BF4931"/>
    <w:multiLevelType w:val="hybridMultilevel"/>
    <w:tmpl w:val="EB98E916"/>
    <w:lvl w:ilvl="0" w:tplc="CAFCBE74">
      <w:start w:val="201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83B0A"/>
    <w:multiLevelType w:val="hybridMultilevel"/>
    <w:tmpl w:val="79D8B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043DE"/>
    <w:multiLevelType w:val="multilevel"/>
    <w:tmpl w:val="D1703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7227A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6D1446"/>
    <w:multiLevelType w:val="hybridMultilevel"/>
    <w:tmpl w:val="D840C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E14D4"/>
    <w:multiLevelType w:val="hybridMultilevel"/>
    <w:tmpl w:val="0EA41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C2BCF"/>
    <w:multiLevelType w:val="hybridMultilevel"/>
    <w:tmpl w:val="C4685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A7FFB"/>
    <w:multiLevelType w:val="hybridMultilevel"/>
    <w:tmpl w:val="09E4E2D0"/>
    <w:lvl w:ilvl="0" w:tplc="0BEEEDD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2925B4"/>
    <w:multiLevelType w:val="hybridMultilevel"/>
    <w:tmpl w:val="24344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5CAC"/>
    <w:multiLevelType w:val="hybridMultilevel"/>
    <w:tmpl w:val="EFF29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66A1B"/>
    <w:multiLevelType w:val="hybridMultilevel"/>
    <w:tmpl w:val="CB787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4D8C"/>
    <w:multiLevelType w:val="hybridMultilevel"/>
    <w:tmpl w:val="8944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752B0"/>
    <w:multiLevelType w:val="hybridMultilevel"/>
    <w:tmpl w:val="C24E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C3595"/>
    <w:multiLevelType w:val="hybridMultilevel"/>
    <w:tmpl w:val="AACA7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3919"/>
    <w:multiLevelType w:val="hybridMultilevel"/>
    <w:tmpl w:val="6A8CDADA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1AC9"/>
    <w:multiLevelType w:val="multilevel"/>
    <w:tmpl w:val="085E6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6847CB"/>
    <w:multiLevelType w:val="hybridMultilevel"/>
    <w:tmpl w:val="801C1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EA2665"/>
    <w:multiLevelType w:val="hybridMultilevel"/>
    <w:tmpl w:val="7AF0C0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40684"/>
    <w:multiLevelType w:val="hybridMultilevel"/>
    <w:tmpl w:val="369EC3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E07022"/>
    <w:multiLevelType w:val="hybridMultilevel"/>
    <w:tmpl w:val="073244C8"/>
    <w:lvl w:ilvl="0" w:tplc="FEE8911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B0B63"/>
    <w:multiLevelType w:val="hybridMultilevel"/>
    <w:tmpl w:val="F6085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845397">
    <w:abstractNumId w:val="20"/>
  </w:num>
  <w:num w:numId="2" w16cid:durableId="2058818568">
    <w:abstractNumId w:val="26"/>
  </w:num>
  <w:num w:numId="3" w16cid:durableId="1117682875">
    <w:abstractNumId w:val="17"/>
  </w:num>
  <w:num w:numId="4" w16cid:durableId="1230848157">
    <w:abstractNumId w:val="33"/>
  </w:num>
  <w:num w:numId="5" w16cid:durableId="844635684">
    <w:abstractNumId w:val="5"/>
  </w:num>
  <w:num w:numId="6" w16cid:durableId="415202857">
    <w:abstractNumId w:val="32"/>
  </w:num>
  <w:num w:numId="7" w16cid:durableId="496650074">
    <w:abstractNumId w:val="21"/>
  </w:num>
  <w:num w:numId="8" w16cid:durableId="1580211436">
    <w:abstractNumId w:val="19"/>
  </w:num>
  <w:num w:numId="9" w16cid:durableId="811214824">
    <w:abstractNumId w:val="23"/>
  </w:num>
  <w:num w:numId="10" w16cid:durableId="281496438">
    <w:abstractNumId w:val="13"/>
  </w:num>
  <w:num w:numId="11" w16cid:durableId="447164622">
    <w:abstractNumId w:val="27"/>
  </w:num>
  <w:num w:numId="12" w16cid:durableId="2042628710">
    <w:abstractNumId w:val="18"/>
  </w:num>
  <w:num w:numId="13" w16cid:durableId="1777554255">
    <w:abstractNumId w:val="6"/>
  </w:num>
  <w:num w:numId="14" w16cid:durableId="912084334">
    <w:abstractNumId w:val="24"/>
  </w:num>
  <w:num w:numId="15" w16cid:durableId="1554000545">
    <w:abstractNumId w:val="11"/>
  </w:num>
  <w:num w:numId="16" w16cid:durableId="1384599773">
    <w:abstractNumId w:val="0"/>
  </w:num>
  <w:num w:numId="17" w16cid:durableId="2007636264">
    <w:abstractNumId w:val="7"/>
  </w:num>
  <w:num w:numId="18" w16cid:durableId="838885892">
    <w:abstractNumId w:val="16"/>
  </w:num>
  <w:num w:numId="19" w16cid:durableId="1651713549">
    <w:abstractNumId w:val="28"/>
  </w:num>
  <w:num w:numId="20" w16cid:durableId="1702053148">
    <w:abstractNumId w:val="9"/>
  </w:num>
  <w:num w:numId="21" w16cid:durableId="2146846098">
    <w:abstractNumId w:val="3"/>
  </w:num>
  <w:num w:numId="22" w16cid:durableId="2090495361">
    <w:abstractNumId w:val="1"/>
  </w:num>
  <w:num w:numId="23" w16cid:durableId="719866860">
    <w:abstractNumId w:val="29"/>
  </w:num>
  <w:num w:numId="24" w16cid:durableId="706444059">
    <w:abstractNumId w:val="15"/>
  </w:num>
  <w:num w:numId="25" w16cid:durableId="872765077">
    <w:abstractNumId w:val="4"/>
  </w:num>
  <w:num w:numId="26" w16cid:durableId="2078244116">
    <w:abstractNumId w:val="31"/>
  </w:num>
  <w:num w:numId="27" w16cid:durableId="1270553267">
    <w:abstractNumId w:val="2"/>
  </w:num>
  <w:num w:numId="28" w16cid:durableId="1482113534">
    <w:abstractNumId w:val="30"/>
  </w:num>
  <w:num w:numId="29" w16cid:durableId="1752195348">
    <w:abstractNumId w:val="8"/>
  </w:num>
  <w:num w:numId="30" w16cid:durableId="281501618">
    <w:abstractNumId w:val="12"/>
  </w:num>
  <w:num w:numId="31" w16cid:durableId="873007398">
    <w:abstractNumId w:val="14"/>
  </w:num>
  <w:num w:numId="32" w16cid:durableId="7656171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76636632">
    <w:abstractNumId w:val="22"/>
  </w:num>
  <w:num w:numId="34" w16cid:durableId="1478304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45"/>
    <w:rsid w:val="00001E26"/>
    <w:rsid w:val="00024E34"/>
    <w:rsid w:val="0003220C"/>
    <w:rsid w:val="00032D67"/>
    <w:rsid w:val="000343BC"/>
    <w:rsid w:val="000469AC"/>
    <w:rsid w:val="000505DA"/>
    <w:rsid w:val="0005589C"/>
    <w:rsid w:val="0005658E"/>
    <w:rsid w:val="0007536E"/>
    <w:rsid w:val="0008425D"/>
    <w:rsid w:val="00084363"/>
    <w:rsid w:val="00086BB7"/>
    <w:rsid w:val="000B30EA"/>
    <w:rsid w:val="000C7484"/>
    <w:rsid w:val="000D1EB1"/>
    <w:rsid w:val="000D43A3"/>
    <w:rsid w:val="000E0E86"/>
    <w:rsid w:val="000E1374"/>
    <w:rsid w:val="000E66B7"/>
    <w:rsid w:val="000F17F1"/>
    <w:rsid w:val="0010339F"/>
    <w:rsid w:val="00107A70"/>
    <w:rsid w:val="0011458E"/>
    <w:rsid w:val="001316E9"/>
    <w:rsid w:val="00157D94"/>
    <w:rsid w:val="001812C1"/>
    <w:rsid w:val="00194C67"/>
    <w:rsid w:val="001A2D06"/>
    <w:rsid w:val="001D5F4C"/>
    <w:rsid w:val="002018DC"/>
    <w:rsid w:val="0021494E"/>
    <w:rsid w:val="00243B56"/>
    <w:rsid w:val="00295F0E"/>
    <w:rsid w:val="002A23A2"/>
    <w:rsid w:val="002A52AE"/>
    <w:rsid w:val="002B26C3"/>
    <w:rsid w:val="002C01BB"/>
    <w:rsid w:val="002E1A5B"/>
    <w:rsid w:val="003166BF"/>
    <w:rsid w:val="0033246B"/>
    <w:rsid w:val="00347628"/>
    <w:rsid w:val="00364910"/>
    <w:rsid w:val="00375FDB"/>
    <w:rsid w:val="00380F8D"/>
    <w:rsid w:val="00394AC3"/>
    <w:rsid w:val="003B1379"/>
    <w:rsid w:val="003B7F8A"/>
    <w:rsid w:val="003C237A"/>
    <w:rsid w:val="003D41F9"/>
    <w:rsid w:val="003F1396"/>
    <w:rsid w:val="004031E9"/>
    <w:rsid w:val="00405C91"/>
    <w:rsid w:val="00414174"/>
    <w:rsid w:val="00424EFC"/>
    <w:rsid w:val="00456DF5"/>
    <w:rsid w:val="0047288A"/>
    <w:rsid w:val="00497215"/>
    <w:rsid w:val="004A35A7"/>
    <w:rsid w:val="004A7F9D"/>
    <w:rsid w:val="004D5B11"/>
    <w:rsid w:val="004F6DBA"/>
    <w:rsid w:val="00502AA5"/>
    <w:rsid w:val="00503D45"/>
    <w:rsid w:val="005062FD"/>
    <w:rsid w:val="005112BC"/>
    <w:rsid w:val="00517115"/>
    <w:rsid w:val="00552A95"/>
    <w:rsid w:val="00594CD4"/>
    <w:rsid w:val="005B3FEE"/>
    <w:rsid w:val="005B5AA3"/>
    <w:rsid w:val="005C59FA"/>
    <w:rsid w:val="005C68D7"/>
    <w:rsid w:val="005D5142"/>
    <w:rsid w:val="005E05C5"/>
    <w:rsid w:val="005E3D98"/>
    <w:rsid w:val="005E555D"/>
    <w:rsid w:val="00620453"/>
    <w:rsid w:val="006231DE"/>
    <w:rsid w:val="00643D89"/>
    <w:rsid w:val="00645D53"/>
    <w:rsid w:val="00647DCB"/>
    <w:rsid w:val="00663F12"/>
    <w:rsid w:val="0067414E"/>
    <w:rsid w:val="00676192"/>
    <w:rsid w:val="00682B55"/>
    <w:rsid w:val="00695F10"/>
    <w:rsid w:val="006B5C88"/>
    <w:rsid w:val="006C38B9"/>
    <w:rsid w:val="006D37D9"/>
    <w:rsid w:val="006F1D93"/>
    <w:rsid w:val="00737AA5"/>
    <w:rsid w:val="00772F83"/>
    <w:rsid w:val="00780BC8"/>
    <w:rsid w:val="007B54DD"/>
    <w:rsid w:val="007C7839"/>
    <w:rsid w:val="007D0432"/>
    <w:rsid w:val="007E3F81"/>
    <w:rsid w:val="007F175B"/>
    <w:rsid w:val="007F3168"/>
    <w:rsid w:val="00803635"/>
    <w:rsid w:val="00805BB7"/>
    <w:rsid w:val="00832960"/>
    <w:rsid w:val="00833D4C"/>
    <w:rsid w:val="00857739"/>
    <w:rsid w:val="00872B14"/>
    <w:rsid w:val="008838A0"/>
    <w:rsid w:val="00891FEC"/>
    <w:rsid w:val="00892F06"/>
    <w:rsid w:val="008B1556"/>
    <w:rsid w:val="008B25E3"/>
    <w:rsid w:val="008C06CD"/>
    <w:rsid w:val="008E2A79"/>
    <w:rsid w:val="008E3697"/>
    <w:rsid w:val="008F6D86"/>
    <w:rsid w:val="00915D0C"/>
    <w:rsid w:val="00915E5E"/>
    <w:rsid w:val="0092115A"/>
    <w:rsid w:val="00941E30"/>
    <w:rsid w:val="009764F6"/>
    <w:rsid w:val="009769A4"/>
    <w:rsid w:val="00994B98"/>
    <w:rsid w:val="00995E34"/>
    <w:rsid w:val="009A1607"/>
    <w:rsid w:val="009A5712"/>
    <w:rsid w:val="009B294E"/>
    <w:rsid w:val="009C3170"/>
    <w:rsid w:val="009C344E"/>
    <w:rsid w:val="009D5832"/>
    <w:rsid w:val="00A25922"/>
    <w:rsid w:val="00A35250"/>
    <w:rsid w:val="00A374FB"/>
    <w:rsid w:val="00A40DFC"/>
    <w:rsid w:val="00A53185"/>
    <w:rsid w:val="00A74C68"/>
    <w:rsid w:val="00B04067"/>
    <w:rsid w:val="00B0419C"/>
    <w:rsid w:val="00B047B6"/>
    <w:rsid w:val="00B14076"/>
    <w:rsid w:val="00B15F87"/>
    <w:rsid w:val="00B462CE"/>
    <w:rsid w:val="00B50FAF"/>
    <w:rsid w:val="00B84F08"/>
    <w:rsid w:val="00B85A18"/>
    <w:rsid w:val="00B8629C"/>
    <w:rsid w:val="00B921B1"/>
    <w:rsid w:val="00BB6F1C"/>
    <w:rsid w:val="00BC08D9"/>
    <w:rsid w:val="00BC31FE"/>
    <w:rsid w:val="00BE20D4"/>
    <w:rsid w:val="00C000B6"/>
    <w:rsid w:val="00C042D8"/>
    <w:rsid w:val="00C17C0B"/>
    <w:rsid w:val="00C27943"/>
    <w:rsid w:val="00C621E2"/>
    <w:rsid w:val="00C6473A"/>
    <w:rsid w:val="00C71AE0"/>
    <w:rsid w:val="00C72AD2"/>
    <w:rsid w:val="00C971A6"/>
    <w:rsid w:val="00CE6CA5"/>
    <w:rsid w:val="00CF0158"/>
    <w:rsid w:val="00CF4AC8"/>
    <w:rsid w:val="00D1637A"/>
    <w:rsid w:val="00D63CB2"/>
    <w:rsid w:val="00D678D9"/>
    <w:rsid w:val="00D76920"/>
    <w:rsid w:val="00D90C88"/>
    <w:rsid w:val="00DA632B"/>
    <w:rsid w:val="00DB1EC9"/>
    <w:rsid w:val="00DB51A9"/>
    <w:rsid w:val="00DC35FF"/>
    <w:rsid w:val="00DE12BA"/>
    <w:rsid w:val="00DE19CB"/>
    <w:rsid w:val="00DF404A"/>
    <w:rsid w:val="00DF606F"/>
    <w:rsid w:val="00E109E8"/>
    <w:rsid w:val="00E11F98"/>
    <w:rsid w:val="00E430F4"/>
    <w:rsid w:val="00E524C1"/>
    <w:rsid w:val="00E871B8"/>
    <w:rsid w:val="00EA3F87"/>
    <w:rsid w:val="00EF0466"/>
    <w:rsid w:val="00EF3015"/>
    <w:rsid w:val="00EF64FC"/>
    <w:rsid w:val="00F308A8"/>
    <w:rsid w:val="00F33BC7"/>
    <w:rsid w:val="00F4174E"/>
    <w:rsid w:val="00F43339"/>
    <w:rsid w:val="00F5666C"/>
    <w:rsid w:val="00F613D0"/>
    <w:rsid w:val="00F74FE9"/>
    <w:rsid w:val="00F97B72"/>
    <w:rsid w:val="00FC25AB"/>
    <w:rsid w:val="00FD2DB6"/>
    <w:rsid w:val="00FD3DC4"/>
    <w:rsid w:val="00FD54B9"/>
    <w:rsid w:val="00FD589E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  <w14:docId w14:val="7D51E8A8"/>
  <w15:docId w15:val="{46D86AC5-010C-4FED-A0DB-8048301D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D93"/>
    <w:pPr>
      <w:spacing w:after="360"/>
    </w:pPr>
    <w:rPr>
      <w:rFonts w:asciiTheme="majorHAnsi" w:hAnsiTheme="majorHAnsi"/>
      <w:shd w:val="clear" w:color="auto" w:fill="FFFFFF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047B6"/>
    <w:pPr>
      <w:numPr>
        <w:numId w:val="17"/>
      </w:numPr>
      <w:spacing w:after="120" w:line="240" w:lineRule="auto"/>
      <w:outlineLvl w:val="0"/>
    </w:pPr>
    <w:rPr>
      <w:rFonts w:ascii="Arial Black" w:hAnsi="Arial Black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1D93"/>
    <w:pPr>
      <w:numPr>
        <w:ilvl w:val="1"/>
        <w:numId w:val="19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8D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83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D45"/>
  </w:style>
  <w:style w:type="paragraph" w:styleId="Footer">
    <w:name w:val="footer"/>
    <w:basedOn w:val="Normal"/>
    <w:link w:val="FooterChar"/>
    <w:uiPriority w:val="99"/>
    <w:unhideWhenUsed/>
    <w:rsid w:val="0050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D45"/>
  </w:style>
  <w:style w:type="paragraph" w:styleId="ListParagraph">
    <w:name w:val="List Paragraph"/>
    <w:basedOn w:val="Normal"/>
    <w:link w:val="ListParagraphChar"/>
    <w:uiPriority w:val="34"/>
    <w:qFormat/>
    <w:rsid w:val="00503D45"/>
    <w:pPr>
      <w:ind w:left="720"/>
      <w:contextualSpacing/>
    </w:pPr>
  </w:style>
  <w:style w:type="table" w:styleId="TableGrid">
    <w:name w:val="Table Grid"/>
    <w:basedOn w:val="TableNormal"/>
    <w:uiPriority w:val="39"/>
    <w:rsid w:val="0050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9C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ListParagraph"/>
    <w:link w:val="BulletListChar"/>
    <w:qFormat/>
    <w:rsid w:val="00084363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3FEE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27943"/>
  </w:style>
  <w:style w:type="character" w:customStyle="1" w:styleId="BulletListChar">
    <w:name w:val="Bullet List Char"/>
    <w:basedOn w:val="ListParagraphChar"/>
    <w:link w:val="BulletList"/>
    <w:rsid w:val="00084363"/>
    <w:rPr>
      <w:rFonts w:asciiTheme="majorHAnsi" w:hAnsiTheme="majorHAnsi"/>
    </w:rPr>
  </w:style>
  <w:style w:type="paragraph" w:styleId="CommentText">
    <w:name w:val="annotation text"/>
    <w:basedOn w:val="Normal"/>
    <w:link w:val="CommentTextChar"/>
    <w:uiPriority w:val="99"/>
    <w:unhideWhenUsed/>
    <w:rsid w:val="005B3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F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1FE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1D93"/>
    <w:pPr>
      <w:tabs>
        <w:tab w:val="left" w:pos="3158"/>
        <w:tab w:val="center" w:pos="5400"/>
      </w:tabs>
      <w:spacing w:after="120" w:line="24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F1D93"/>
    <w:rPr>
      <w:rFonts w:asciiTheme="majorHAnsi" w:hAnsiTheme="majorHAnsi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D93"/>
    <w:pPr>
      <w:spacing w:after="120" w:line="240" w:lineRule="auto"/>
      <w:jc w:val="center"/>
    </w:pPr>
    <w:rPr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F1D93"/>
    <w:rPr>
      <w:rFonts w:asciiTheme="majorHAnsi" w:hAnsiTheme="maj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047B6"/>
    <w:rPr>
      <w:rFonts w:ascii="Arial Black" w:hAnsi="Arial Black"/>
      <w:b/>
      <w:sz w:val="28"/>
      <w:szCs w:val="28"/>
    </w:rPr>
  </w:style>
  <w:style w:type="character" w:styleId="Emphasis">
    <w:name w:val="Emphasis"/>
    <w:uiPriority w:val="20"/>
    <w:qFormat/>
    <w:rsid w:val="006F1D93"/>
    <w:rPr>
      <w:rFonts w:ascii="Arial Narrow" w:hAnsi="Arial Narrow"/>
      <w:sz w:val="16"/>
      <w:szCs w:val="16"/>
    </w:rPr>
  </w:style>
  <w:style w:type="character" w:styleId="SubtleEmphasis">
    <w:name w:val="Subtle Emphasis"/>
    <w:uiPriority w:val="19"/>
    <w:qFormat/>
    <w:rsid w:val="006F1D9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1D93"/>
    <w:rPr>
      <w:rFonts w:asciiTheme="majorHAnsi" w:hAnsiTheme="majorHAnsi"/>
      <w:b/>
    </w:rPr>
  </w:style>
  <w:style w:type="paragraph" w:styleId="NoSpacing">
    <w:name w:val="No Spacing"/>
    <w:basedOn w:val="Normal"/>
    <w:link w:val="NoSpacingChar"/>
    <w:uiPriority w:val="1"/>
    <w:qFormat/>
    <w:rsid w:val="00517115"/>
    <w:pPr>
      <w:spacing w:after="0" w:line="240" w:lineRule="auto"/>
      <w:ind w:left="720"/>
    </w:pPr>
    <w:rPr>
      <w:b/>
    </w:rPr>
  </w:style>
  <w:style w:type="paragraph" w:customStyle="1" w:styleId="Table">
    <w:name w:val="Table"/>
    <w:basedOn w:val="NoSpacing"/>
    <w:link w:val="TableChar"/>
    <w:qFormat/>
    <w:rsid w:val="00517115"/>
    <w:pPr>
      <w:ind w:left="0"/>
    </w:pPr>
    <w:rPr>
      <w:rFonts w:ascii="Arial Narrow" w:hAnsi="Arial Narrow"/>
      <w:b w:val="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17115"/>
    <w:rPr>
      <w:rFonts w:asciiTheme="majorHAnsi" w:hAnsiTheme="majorHAnsi"/>
      <w:b/>
    </w:rPr>
  </w:style>
  <w:style w:type="character" w:customStyle="1" w:styleId="TableChar">
    <w:name w:val="Table Char"/>
    <w:basedOn w:val="NoSpacingChar"/>
    <w:link w:val="Table"/>
    <w:rsid w:val="00517115"/>
    <w:rPr>
      <w:rFonts w:ascii="Arial Narrow" w:hAnsi="Arial Narrow"/>
      <w:b w:val="0"/>
      <w:sz w:val="20"/>
      <w:szCs w:val="20"/>
    </w:rPr>
  </w:style>
  <w:style w:type="paragraph" w:customStyle="1" w:styleId="Listintable">
    <w:name w:val="List in table"/>
    <w:basedOn w:val="ListParagraph"/>
    <w:link w:val="ListintableChar"/>
    <w:qFormat/>
    <w:rsid w:val="00C72AD2"/>
    <w:pPr>
      <w:numPr>
        <w:numId w:val="20"/>
      </w:numPr>
      <w:spacing w:after="0" w:line="240" w:lineRule="auto"/>
      <w:ind w:left="180" w:hanging="180"/>
    </w:pPr>
    <w:rPr>
      <w:sz w:val="18"/>
      <w:szCs w:val="18"/>
    </w:rPr>
  </w:style>
  <w:style w:type="character" w:customStyle="1" w:styleId="ListintableChar">
    <w:name w:val="List in table Char"/>
    <w:basedOn w:val="ListParagraphChar"/>
    <w:link w:val="Listintable"/>
    <w:rsid w:val="00C72AD2"/>
    <w:rPr>
      <w:rFonts w:asciiTheme="majorHAnsi" w:hAnsiTheme="majorHAnsi"/>
      <w:sz w:val="18"/>
      <w:szCs w:val="18"/>
    </w:rPr>
  </w:style>
  <w:style w:type="paragraph" w:customStyle="1" w:styleId="TableHeader">
    <w:name w:val="TableHeader"/>
    <w:basedOn w:val="Normal"/>
    <w:link w:val="TableHeaderChar"/>
    <w:qFormat/>
    <w:rsid w:val="000505DA"/>
    <w:pPr>
      <w:spacing w:after="0" w:line="240" w:lineRule="auto"/>
    </w:pPr>
    <w:rPr>
      <w:rFonts w:ascii="Arial Black" w:hAnsi="Arial Black"/>
      <w:sz w:val="18"/>
      <w:szCs w:val="18"/>
    </w:rPr>
  </w:style>
  <w:style w:type="character" w:customStyle="1" w:styleId="TableHeaderChar">
    <w:name w:val="TableHeader Char"/>
    <w:basedOn w:val="DefaultParagraphFont"/>
    <w:link w:val="TableHeader"/>
    <w:rsid w:val="000505DA"/>
    <w:rPr>
      <w:rFonts w:ascii="Arial Black" w:hAnsi="Arial Black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2D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shd w:val="clear" w:color="auto" w:fill="auto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06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8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8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D678D9"/>
    <w:pPr>
      <w:spacing w:after="0" w:line="240" w:lineRule="auto"/>
    </w:pPr>
    <w:rPr>
      <w:rFonts w:asciiTheme="majorHAnsi" w:hAnsiTheme="majorHAnsi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25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25AB"/>
    <w:rPr>
      <w:rFonts w:asciiTheme="majorHAnsi" w:hAnsiTheme="maj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2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3944-E05D-4A28-A7AF-0373C745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CAEP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Artz</dc:creator>
  <cp:lastModifiedBy>Shanna Sariyildiz</cp:lastModifiedBy>
  <cp:revision>4</cp:revision>
  <cp:lastPrinted>2017-04-11T19:11:00Z</cp:lastPrinted>
  <dcterms:created xsi:type="dcterms:W3CDTF">2023-09-11T16:29:00Z</dcterms:created>
  <dcterms:modified xsi:type="dcterms:W3CDTF">2023-09-26T12:24:00Z</dcterms:modified>
</cp:coreProperties>
</file>